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1320" w:lineRule="exact"/>
        <w:jc w:val="center"/>
        <w:textAlignment w:val="auto"/>
        <w:rPr>
          <w:rFonts w:hint="eastAsia" w:ascii="楷体_GB2312" w:hAnsi="楷体_GB2312" w:eastAsia="楷体_GB2312" w:cs="楷体_GB2312"/>
          <w:sz w:val="32"/>
          <w:szCs w:val="32"/>
          <w:lang w:val="en-US" w:eastAsia="zh-CN"/>
        </w:rPr>
      </w:pPr>
    </w:p>
    <w:p>
      <w:pPr>
        <w:pStyle w:val="2"/>
        <w:rPr>
          <w:rFonts w:hint="eastAsia" w:ascii="楷体_GB2312" w:hAnsi="楷体_GB2312" w:eastAsia="楷体_GB2312" w:cs="楷体_GB2312"/>
          <w:sz w:val="32"/>
          <w:szCs w:val="32"/>
          <w:lang w:val="en-US" w:eastAsia="zh-CN"/>
        </w:rPr>
      </w:pPr>
    </w:p>
    <w:p>
      <w:pPr>
        <w:pStyle w:val="2"/>
        <w:rPr>
          <w:rFonts w:hint="eastAsia" w:ascii="楷体_GB2312" w:hAnsi="楷体_GB2312" w:eastAsia="楷体_GB2312" w:cs="楷体_GB2312"/>
          <w:sz w:val="32"/>
          <w:szCs w:val="32"/>
          <w:lang w:val="en-US" w:eastAsia="zh-CN"/>
        </w:rPr>
      </w:pPr>
    </w:p>
    <w:p>
      <w:pPr>
        <w:pStyle w:val="2"/>
        <w:rPr>
          <w:rFonts w:hint="eastAsia" w:ascii="楷体_GB2312" w:hAnsi="楷体_GB2312" w:eastAsia="楷体_GB2312" w:cs="楷体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1320" w:lineRule="exact"/>
        <w:jc w:val="both"/>
        <w:textAlignment w:val="auto"/>
        <w:rPr>
          <w:rFonts w:hint="eastAsia" w:ascii="楷体_GB2312" w:hAnsi="楷体_GB2312" w:eastAsia="楷体_GB2312" w:cs="楷体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1320" w:lineRule="exact"/>
        <w:jc w:val="center"/>
        <w:textAlignment w:val="auto"/>
        <w:rPr>
          <w:rFonts w:hint="eastAsia" w:ascii="方正小标宋简体" w:hAnsi="方正小标宋简体" w:eastAsia="方正小标宋简体" w:cs="方正小标宋简体"/>
          <w:sz w:val="56"/>
          <w:szCs w:val="56"/>
          <w:lang w:val="en-US" w:eastAsia="zh-CN"/>
        </w:rPr>
      </w:pPr>
      <w:bookmarkStart w:id="0" w:name="_GoBack"/>
      <w:r>
        <w:rPr>
          <w:rFonts w:hint="eastAsia" w:ascii="方正小标宋简体" w:hAnsi="方正小标宋简体" w:eastAsia="方正小标宋简体" w:cs="方正小标宋简体"/>
          <w:sz w:val="56"/>
          <w:szCs w:val="56"/>
          <w:lang w:val="en-US" w:eastAsia="zh-CN"/>
        </w:rPr>
        <w:t>德州财金投资控股集团有限公司</w:t>
      </w:r>
    </w:p>
    <w:p>
      <w:pPr>
        <w:keepNext w:val="0"/>
        <w:keepLines w:val="0"/>
        <w:pageBreakBefore w:val="0"/>
        <w:widowControl w:val="0"/>
        <w:kinsoku/>
        <w:wordWrap/>
        <w:overflowPunct/>
        <w:topLinePunct w:val="0"/>
        <w:autoSpaceDE/>
        <w:autoSpaceDN/>
        <w:bidi w:val="0"/>
        <w:adjustRightInd/>
        <w:snapToGrid/>
        <w:spacing w:line="1320" w:lineRule="exact"/>
        <w:jc w:val="center"/>
        <w:textAlignment w:val="auto"/>
        <w:rPr>
          <w:rFonts w:hint="eastAsia" w:ascii="方正小标宋简体" w:hAnsi="方正小标宋简体" w:eastAsia="方正小标宋简体" w:cs="方正小标宋简体"/>
          <w:sz w:val="56"/>
          <w:szCs w:val="56"/>
          <w:lang w:val="en-US" w:eastAsia="zh-CN"/>
        </w:rPr>
      </w:pPr>
      <w:r>
        <w:rPr>
          <w:rFonts w:hint="eastAsia" w:ascii="方正小标宋简体" w:hAnsi="方正小标宋简体" w:eastAsia="方正小标宋简体" w:cs="方正小标宋简体"/>
          <w:sz w:val="56"/>
          <w:szCs w:val="56"/>
          <w:lang w:val="en-US" w:eastAsia="zh-CN"/>
        </w:rPr>
        <w:t>社会责任报告</w:t>
      </w:r>
      <w:bookmarkEnd w:id="0"/>
    </w:p>
    <w:p>
      <w:pPr>
        <w:keepNext w:val="0"/>
        <w:keepLines w:val="0"/>
        <w:pageBreakBefore w:val="0"/>
        <w:kinsoku/>
        <w:wordWrap/>
        <w:overflowPunct/>
        <w:topLinePunct w:val="0"/>
        <w:autoSpaceDE/>
        <w:autoSpaceDN/>
        <w:bidi w:val="0"/>
        <w:adjustRightInd/>
        <w:snapToGrid/>
        <w:spacing w:line="560" w:lineRule="exact"/>
        <w:jc w:val="center"/>
        <w:textAlignment w:val="auto"/>
        <w:rPr>
          <w:rFonts w:hint="eastAsia" w:ascii="楷体_GB2312" w:hAnsi="楷体_GB2312" w:eastAsia="楷体_GB2312" w:cs="楷体_GB2312"/>
          <w:sz w:val="32"/>
          <w:szCs w:val="32"/>
          <w:lang w:val="en-US" w:eastAsia="zh-CN"/>
        </w:rPr>
      </w:pPr>
    </w:p>
    <w:p>
      <w:pPr>
        <w:keepNext w:val="0"/>
        <w:keepLines w:val="0"/>
        <w:pageBreakBefore w:val="0"/>
        <w:kinsoku/>
        <w:wordWrap/>
        <w:overflowPunct/>
        <w:topLinePunct w:val="0"/>
        <w:autoSpaceDE/>
        <w:autoSpaceDN/>
        <w:bidi w:val="0"/>
        <w:adjustRightInd/>
        <w:snapToGrid/>
        <w:spacing w:line="560" w:lineRule="exact"/>
        <w:jc w:val="center"/>
        <w:textAlignment w:val="auto"/>
        <w:rPr>
          <w:rFonts w:hint="eastAsia" w:ascii="楷体_GB2312" w:hAnsi="楷体_GB2312" w:eastAsia="楷体_GB2312" w:cs="楷体_GB2312"/>
          <w:sz w:val="32"/>
          <w:szCs w:val="32"/>
          <w:lang w:val="en-US" w:eastAsia="zh-CN"/>
        </w:rPr>
      </w:pPr>
    </w:p>
    <w:p>
      <w:pPr>
        <w:keepNext w:val="0"/>
        <w:keepLines w:val="0"/>
        <w:pageBreakBefore w:val="0"/>
        <w:kinsoku/>
        <w:wordWrap/>
        <w:overflowPunct/>
        <w:topLinePunct w:val="0"/>
        <w:autoSpaceDE/>
        <w:autoSpaceDN/>
        <w:bidi w:val="0"/>
        <w:adjustRightInd/>
        <w:snapToGrid/>
        <w:spacing w:line="560" w:lineRule="exact"/>
        <w:jc w:val="center"/>
        <w:textAlignment w:val="auto"/>
        <w:rPr>
          <w:rFonts w:hint="eastAsia" w:ascii="楷体_GB2312" w:hAnsi="楷体_GB2312" w:eastAsia="楷体_GB2312" w:cs="楷体_GB2312"/>
          <w:sz w:val="32"/>
          <w:szCs w:val="32"/>
          <w:lang w:val="en-US" w:eastAsia="zh-CN"/>
        </w:rPr>
      </w:pPr>
    </w:p>
    <w:p>
      <w:pPr>
        <w:keepNext w:val="0"/>
        <w:keepLines w:val="0"/>
        <w:pageBreakBefore w:val="0"/>
        <w:kinsoku/>
        <w:wordWrap/>
        <w:overflowPunct/>
        <w:topLinePunct w:val="0"/>
        <w:autoSpaceDE/>
        <w:autoSpaceDN/>
        <w:bidi w:val="0"/>
        <w:adjustRightInd/>
        <w:snapToGrid/>
        <w:spacing w:line="560" w:lineRule="exact"/>
        <w:jc w:val="center"/>
        <w:textAlignment w:val="auto"/>
        <w:rPr>
          <w:rFonts w:hint="eastAsia" w:ascii="楷体_GB2312" w:hAnsi="楷体_GB2312" w:eastAsia="楷体_GB2312" w:cs="楷体_GB2312"/>
          <w:sz w:val="32"/>
          <w:szCs w:val="32"/>
          <w:lang w:val="en-US" w:eastAsia="zh-CN"/>
        </w:rPr>
      </w:pPr>
    </w:p>
    <w:p>
      <w:pPr>
        <w:keepNext w:val="0"/>
        <w:keepLines w:val="0"/>
        <w:pageBreakBefore w:val="0"/>
        <w:kinsoku/>
        <w:wordWrap/>
        <w:overflowPunct/>
        <w:topLinePunct w:val="0"/>
        <w:autoSpaceDE/>
        <w:autoSpaceDN/>
        <w:bidi w:val="0"/>
        <w:adjustRightInd/>
        <w:snapToGrid/>
        <w:spacing w:line="560" w:lineRule="exact"/>
        <w:jc w:val="center"/>
        <w:textAlignment w:val="auto"/>
        <w:rPr>
          <w:rFonts w:hint="eastAsia" w:ascii="楷体_GB2312" w:hAnsi="楷体_GB2312" w:eastAsia="楷体_GB2312" w:cs="楷体_GB2312"/>
          <w:sz w:val="32"/>
          <w:szCs w:val="32"/>
          <w:lang w:val="en-US" w:eastAsia="zh-CN"/>
        </w:rPr>
      </w:pPr>
    </w:p>
    <w:p>
      <w:pPr>
        <w:keepNext w:val="0"/>
        <w:keepLines w:val="0"/>
        <w:pageBreakBefore w:val="0"/>
        <w:kinsoku/>
        <w:wordWrap/>
        <w:overflowPunct/>
        <w:topLinePunct w:val="0"/>
        <w:autoSpaceDE/>
        <w:autoSpaceDN/>
        <w:bidi w:val="0"/>
        <w:adjustRightInd/>
        <w:snapToGrid/>
        <w:spacing w:line="560" w:lineRule="exact"/>
        <w:jc w:val="center"/>
        <w:textAlignment w:val="auto"/>
        <w:rPr>
          <w:rFonts w:hint="eastAsia" w:ascii="楷体_GB2312" w:hAnsi="楷体_GB2312" w:eastAsia="楷体_GB2312" w:cs="楷体_GB2312"/>
          <w:sz w:val="32"/>
          <w:szCs w:val="32"/>
          <w:lang w:val="en-US" w:eastAsia="zh-CN"/>
        </w:rPr>
      </w:pPr>
    </w:p>
    <w:p>
      <w:pPr>
        <w:keepNext w:val="0"/>
        <w:keepLines w:val="0"/>
        <w:pageBreakBefore w:val="0"/>
        <w:kinsoku/>
        <w:wordWrap/>
        <w:overflowPunct/>
        <w:topLinePunct w:val="0"/>
        <w:autoSpaceDE/>
        <w:autoSpaceDN/>
        <w:bidi w:val="0"/>
        <w:adjustRightInd/>
        <w:snapToGrid/>
        <w:spacing w:line="560" w:lineRule="exact"/>
        <w:jc w:val="center"/>
        <w:textAlignment w:val="auto"/>
        <w:rPr>
          <w:rFonts w:hint="eastAsia" w:ascii="楷体_GB2312" w:hAnsi="楷体_GB2312" w:eastAsia="楷体_GB2312" w:cs="楷体_GB2312"/>
          <w:sz w:val="32"/>
          <w:szCs w:val="32"/>
          <w:lang w:val="en-US" w:eastAsia="zh-CN"/>
        </w:rPr>
      </w:pPr>
    </w:p>
    <w:p>
      <w:pPr>
        <w:keepNext w:val="0"/>
        <w:keepLines w:val="0"/>
        <w:pageBreakBefore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sz w:val="32"/>
          <w:szCs w:val="32"/>
          <w:lang w:val="en-US" w:eastAsia="zh-CN"/>
        </w:rPr>
      </w:pPr>
    </w:p>
    <w:p>
      <w:pPr>
        <w:keepNext w:val="0"/>
        <w:keepLines w:val="0"/>
        <w:pageBreakBefore w:val="0"/>
        <w:kinsoku/>
        <w:wordWrap/>
        <w:overflowPunct/>
        <w:topLinePunct w:val="0"/>
        <w:autoSpaceDE/>
        <w:autoSpaceDN/>
        <w:bidi w:val="0"/>
        <w:adjustRightInd/>
        <w:snapToGrid/>
        <w:spacing w:line="560" w:lineRule="exact"/>
        <w:jc w:val="center"/>
        <w:textAlignment w:val="auto"/>
        <w:rPr>
          <w:rFonts w:hint="eastAsia" w:ascii="楷体_GB2312" w:hAnsi="楷体_GB2312" w:eastAsia="楷体_GB2312" w:cs="楷体_GB2312"/>
          <w:sz w:val="32"/>
          <w:szCs w:val="32"/>
          <w:lang w:val="en-US" w:eastAsia="zh-CN"/>
        </w:rPr>
      </w:pPr>
    </w:p>
    <w:p>
      <w:pPr>
        <w:keepNext w:val="0"/>
        <w:keepLines w:val="0"/>
        <w:pageBreakBefore w:val="0"/>
        <w:kinsoku/>
        <w:wordWrap/>
        <w:overflowPunct/>
        <w:topLinePunct w:val="0"/>
        <w:autoSpaceDE/>
        <w:autoSpaceDN/>
        <w:bidi w:val="0"/>
        <w:adjustRightInd/>
        <w:snapToGrid/>
        <w:spacing w:line="560" w:lineRule="exact"/>
        <w:jc w:val="center"/>
        <w:textAlignment w:val="auto"/>
        <w:rPr>
          <w:rFonts w:hint="eastAsia" w:ascii="楷体_GB2312" w:hAnsi="楷体_GB2312" w:eastAsia="楷体_GB2312" w:cs="楷体_GB2312"/>
          <w:sz w:val="32"/>
          <w:szCs w:val="32"/>
          <w:lang w:val="en-US" w:eastAsia="zh-CN"/>
        </w:rPr>
      </w:pPr>
    </w:p>
    <w:p>
      <w:pPr>
        <w:keepNext w:val="0"/>
        <w:keepLines w:val="0"/>
        <w:pageBreakBefore w:val="0"/>
        <w:kinsoku/>
        <w:wordWrap/>
        <w:overflowPunct/>
        <w:topLinePunct w:val="0"/>
        <w:autoSpaceDE/>
        <w:autoSpaceDN/>
        <w:bidi w:val="0"/>
        <w:adjustRightInd/>
        <w:snapToGrid/>
        <w:spacing w:line="560" w:lineRule="exact"/>
        <w:jc w:val="center"/>
        <w:textAlignment w:val="auto"/>
        <w:rPr>
          <w:rFonts w:hint="eastAsia" w:ascii="楷体_GB2312" w:hAnsi="楷体_GB2312" w:eastAsia="楷体_GB2312" w:cs="楷体_GB2312"/>
          <w:sz w:val="32"/>
          <w:szCs w:val="32"/>
          <w:lang w:val="en-US" w:eastAsia="zh-CN"/>
        </w:rPr>
      </w:pPr>
      <w:r>
        <w:rPr>
          <w:rFonts w:hint="default" w:ascii="Times New Roman" w:hAnsi="Times New Roman" w:eastAsia="黑体" w:cs="Times New Roman"/>
          <w:sz w:val="32"/>
          <w:szCs w:val="32"/>
          <w:lang w:val="en-US" w:eastAsia="zh-CN"/>
        </w:rPr>
        <w:t>2020</w:t>
      </w:r>
      <w:r>
        <w:rPr>
          <w:rFonts w:hint="eastAsia" w:ascii="楷体_GB2312" w:hAnsi="楷体_GB2312" w:eastAsia="楷体_GB2312" w:cs="楷体_GB2312"/>
          <w:sz w:val="32"/>
          <w:szCs w:val="32"/>
          <w:lang w:val="en-US" w:eastAsia="zh-CN"/>
        </w:rPr>
        <w:t>年</w:t>
      </w:r>
      <w:r>
        <w:rPr>
          <w:rFonts w:hint="default" w:ascii="Times New Roman" w:hAnsi="Times New Roman" w:eastAsia="黑体" w:cs="Times New Roman"/>
          <w:sz w:val="32"/>
          <w:szCs w:val="32"/>
          <w:lang w:val="en-US" w:eastAsia="zh-CN"/>
        </w:rPr>
        <w:t>12</w:t>
      </w:r>
      <w:r>
        <w:rPr>
          <w:rFonts w:hint="eastAsia" w:ascii="楷体_GB2312" w:hAnsi="楷体_GB2312" w:eastAsia="楷体_GB2312" w:cs="楷体_GB2312"/>
          <w:sz w:val="32"/>
          <w:szCs w:val="32"/>
          <w:lang w:val="en-US" w:eastAsia="zh-CN"/>
        </w:rPr>
        <w:t>月</w:t>
      </w:r>
    </w:p>
    <w:p>
      <w:pPr>
        <w:keepNext w:val="0"/>
        <w:keepLines w:val="0"/>
        <w:pageBreakBefore w:val="0"/>
        <w:kinsoku/>
        <w:wordWrap/>
        <w:overflowPunct/>
        <w:topLinePunct w:val="0"/>
        <w:autoSpaceDE/>
        <w:autoSpaceDN/>
        <w:bidi w:val="0"/>
        <w:adjustRightInd/>
        <w:snapToGrid/>
        <w:spacing w:line="560" w:lineRule="exact"/>
        <w:jc w:val="center"/>
        <w:textAlignment w:val="auto"/>
        <w:rPr>
          <w:rFonts w:hint="eastAsia" w:ascii="楷体_GB2312" w:hAnsi="楷体_GB2312" w:eastAsia="楷体_GB2312" w:cs="楷体_GB2312"/>
          <w:sz w:val="32"/>
          <w:szCs w:val="32"/>
          <w:lang w:val="en-US" w:eastAsia="zh-CN"/>
        </w:rPr>
      </w:pPr>
    </w:p>
    <w:p>
      <w:pP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sectPr>
          <w:footerReference r:id="rId3" w:type="default"/>
          <w:pgSz w:w="11906" w:h="16838"/>
          <w:pgMar w:top="1440" w:right="1800" w:bottom="1440" w:left="1800" w:header="851" w:footer="992" w:gutter="0"/>
          <w:pgNumType w:fmt="numberInDash"/>
          <w:cols w:space="425" w:num="1"/>
          <w:docGrid w:type="lines" w:linePitch="312" w:charSpace="0"/>
        </w:sectPr>
      </w:pPr>
    </w:p>
    <w:p>
      <w:pP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sectPr>
          <w:footerReference r:id="rId4" w:type="default"/>
          <w:pgSz w:w="11906" w:h="16838"/>
          <w:pgMar w:top="1440" w:right="1800" w:bottom="1440" w:left="1800" w:header="851" w:footer="992" w:gutter="0"/>
          <w:pgNumType w:fmt="numberInDash" w:start="1"/>
          <w:cols w:space="425" w:num="1"/>
          <w:docGrid w:type="lines" w:linePitch="312" w:charSpace="0"/>
        </w:sectPr>
      </w:pPr>
    </w:p>
    <w:p>
      <w:pPr>
        <w:keepNext w:val="0"/>
        <w:keepLines w:val="0"/>
        <w:pageBreakBefore w:val="0"/>
        <w:kinsoku/>
        <w:wordWrap/>
        <w:overflowPunct/>
        <w:topLinePunct w:val="0"/>
        <w:bidi w:val="0"/>
        <w:snapToGrid/>
        <w:spacing w:line="560" w:lineRule="exact"/>
        <w:jc w:val="center"/>
        <w:textAlignment w:val="auto"/>
        <w:rPr>
          <w:rFonts w:hint="eastAsia" w:ascii="楷体_GB2312" w:hAnsi="楷体_GB2312" w:eastAsia="楷体_GB2312" w:cs="楷体_GB2312"/>
          <w:color w:val="000000" w:themeColor="text1"/>
          <w:kern w:val="0"/>
          <w:sz w:val="44"/>
          <w:szCs w:val="44"/>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44"/>
          <w:szCs w:val="44"/>
          <w:lang w:val="en-US" w:eastAsia="zh-CN" w:bidi="ar"/>
          <w14:textFill>
            <w14:solidFill>
              <w14:schemeClr w14:val="tx1"/>
            </w14:solidFill>
          </w14:textFill>
        </w:rPr>
        <w:t>目  录</w:t>
      </w:r>
    </w:p>
    <w:p>
      <w:pPr>
        <w:pStyle w:val="2"/>
        <w:rPr>
          <w:rFonts w:hint="eastAsia"/>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color w:val="000000" w:themeColor="text1"/>
          <w:sz w:val="32"/>
          <w:szCs w:val="32"/>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一、前言</w:t>
      </w:r>
    </w:p>
    <w:p>
      <w:pPr>
        <w:keepNext w:val="0"/>
        <w:keepLines w:val="0"/>
        <w:pageBreakBefore w:val="0"/>
        <w:widowControl/>
        <w:suppressLineNumbers w:val="0"/>
        <w:kinsoku/>
        <w:wordWrap/>
        <w:overflowPunct/>
        <w:topLinePunct w:val="0"/>
        <w:autoSpaceDE/>
        <w:autoSpaceDN/>
        <w:bidi w:val="0"/>
        <w:adjustRightInd/>
        <w:snapToGrid/>
        <w:spacing w:line="560" w:lineRule="exact"/>
        <w:jc w:val="both"/>
        <w:textAlignment w:val="auto"/>
        <w:rPr>
          <w:rFonts w:hint="default"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（一）董事长致辞</w:t>
      </w:r>
    </w:p>
    <w:p>
      <w:pPr>
        <w:keepNext w:val="0"/>
        <w:keepLines w:val="0"/>
        <w:pageBreakBefore w:val="0"/>
        <w:widowControl/>
        <w:suppressLineNumbers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color w:val="000000" w:themeColor="text1"/>
          <w:sz w:val="32"/>
          <w:szCs w:val="32"/>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（二）公司简介</w:t>
      </w:r>
    </w:p>
    <w:p>
      <w:pPr>
        <w:keepNext w:val="0"/>
        <w:keepLines w:val="0"/>
        <w:pageBreakBefore w:val="0"/>
        <w:widowControl/>
        <w:suppressLineNumbers w:val="0"/>
        <w:kinsoku/>
        <w:wordWrap/>
        <w:overflowPunct/>
        <w:topLinePunct w:val="0"/>
        <w:autoSpaceDE/>
        <w:autoSpaceDN/>
        <w:bidi w:val="0"/>
        <w:adjustRightInd/>
        <w:snapToGrid/>
        <w:spacing w:line="560" w:lineRule="exact"/>
        <w:jc w:val="both"/>
        <w:textAlignment w:val="auto"/>
        <w:rPr>
          <w:rFonts w:hint="default" w:ascii="楷体_GB2312" w:hAnsi="楷体_GB2312" w:eastAsia="楷体_GB2312" w:cs="楷体_GB2312"/>
          <w:color w:val="000000" w:themeColor="text1"/>
          <w:sz w:val="32"/>
          <w:szCs w:val="32"/>
          <w:lang w:val="en-US"/>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（三）公司治理与组织结构</w:t>
      </w:r>
    </w:p>
    <w:p>
      <w:pPr>
        <w:keepNext w:val="0"/>
        <w:keepLines w:val="0"/>
        <w:pageBreakBefore w:val="0"/>
        <w:widowControl/>
        <w:suppressLineNumbers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（四）企业文化及战略定位</w:t>
      </w:r>
    </w:p>
    <w:p>
      <w:pPr>
        <w:pStyle w:val="2"/>
        <w:keepNext w:val="0"/>
        <w:keepLines w:val="0"/>
        <w:pageBreakBefore w:val="0"/>
        <w:kinsoku/>
        <w:wordWrap/>
        <w:overflowPunct/>
        <w:topLinePunct w:val="0"/>
        <w:bidi w:val="0"/>
        <w:snapToGrid/>
        <w:spacing w:line="560" w:lineRule="exact"/>
        <w:jc w:val="both"/>
        <w:textAlignment w:val="auto"/>
        <w:rPr>
          <w:rFonts w:hint="default"/>
          <w:lang w:val="en-US"/>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（五）集团荣誉</w:t>
      </w:r>
    </w:p>
    <w:p>
      <w:pPr>
        <w:keepNext w:val="0"/>
        <w:keepLines w:val="0"/>
        <w:pageBreakBefore w:val="0"/>
        <w:widowControl/>
        <w:suppressLineNumbers w:val="0"/>
        <w:kinsoku/>
        <w:wordWrap/>
        <w:overflowPunct/>
        <w:topLinePunct w:val="0"/>
        <w:autoSpaceDE/>
        <w:autoSpaceDN/>
        <w:bidi w:val="0"/>
        <w:adjustRightInd/>
        <w:snapToGrid/>
        <w:spacing w:line="560" w:lineRule="exact"/>
        <w:jc w:val="both"/>
        <w:textAlignment w:val="auto"/>
        <w:rPr>
          <w:rFonts w:hint="default" w:ascii="楷体_GB2312" w:hAnsi="楷体_GB2312" w:eastAsia="楷体_GB2312" w:cs="楷体_GB2312"/>
          <w:color w:val="000000" w:themeColor="text1"/>
          <w:sz w:val="32"/>
          <w:szCs w:val="32"/>
          <w:lang w:val="en-US"/>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二、社会责任管理体系</w:t>
      </w:r>
    </w:p>
    <w:p>
      <w:pPr>
        <w:keepNext w:val="0"/>
        <w:keepLines w:val="0"/>
        <w:pageBreakBefore w:val="0"/>
        <w:widowControl/>
        <w:suppressLineNumbers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color w:val="000000" w:themeColor="text1"/>
          <w:sz w:val="32"/>
          <w:szCs w:val="32"/>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（一）工作体系</w:t>
      </w:r>
    </w:p>
    <w:p>
      <w:pPr>
        <w:keepNext w:val="0"/>
        <w:keepLines w:val="0"/>
        <w:pageBreakBefore w:val="0"/>
        <w:widowControl/>
        <w:suppressLineNumbers w:val="0"/>
        <w:kinsoku/>
        <w:wordWrap/>
        <w:overflowPunct/>
        <w:topLinePunct w:val="0"/>
        <w:autoSpaceDE/>
        <w:autoSpaceDN/>
        <w:bidi w:val="0"/>
        <w:adjustRightInd/>
        <w:snapToGrid/>
        <w:spacing w:line="560" w:lineRule="exact"/>
        <w:jc w:val="both"/>
        <w:textAlignment w:val="auto"/>
        <w:rPr>
          <w:rFonts w:hint="default" w:ascii="楷体_GB2312" w:hAnsi="楷体_GB2312" w:eastAsia="楷体_GB2312" w:cs="楷体_GB2312"/>
          <w:color w:val="000000" w:themeColor="text1"/>
          <w:sz w:val="32"/>
          <w:szCs w:val="32"/>
          <w:lang w:val="en-US"/>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（二）责任治理</w:t>
      </w:r>
    </w:p>
    <w:p>
      <w:pPr>
        <w:keepNext w:val="0"/>
        <w:keepLines w:val="0"/>
        <w:pageBreakBefore w:val="0"/>
        <w:widowControl/>
        <w:suppressLineNumbers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（三）责任沟通</w:t>
      </w:r>
    </w:p>
    <w:p>
      <w:pPr>
        <w:keepNext w:val="0"/>
        <w:keepLines w:val="0"/>
        <w:pageBreakBefore w:val="0"/>
        <w:widowControl/>
        <w:suppressLineNumbers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三、党建引领，切实履行社会责任</w:t>
      </w:r>
    </w:p>
    <w:p>
      <w:pPr>
        <w:keepNext w:val="0"/>
        <w:keepLines w:val="0"/>
        <w:pageBreakBefore w:val="0"/>
        <w:widowControl/>
        <w:suppressLineNumbers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（一）党建引领培根铸魂</w:t>
      </w:r>
    </w:p>
    <w:p>
      <w:pPr>
        <w:keepNext w:val="0"/>
        <w:keepLines w:val="0"/>
        <w:pageBreakBefore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t>（二）团结一心共同抗疫</w:t>
      </w:r>
    </w:p>
    <w:p>
      <w:pPr>
        <w:keepNext w:val="0"/>
        <w:keepLines w:val="0"/>
        <w:pageBreakBefore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t>（三）深入社区开展服务</w:t>
      </w:r>
    </w:p>
    <w:p>
      <w:pPr>
        <w:keepNext w:val="0"/>
        <w:keepLines w:val="0"/>
        <w:pageBreakBefore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t>（四）实干助力脱贫攻坚</w:t>
      </w:r>
    </w:p>
    <w:p>
      <w:pPr>
        <w:keepNext w:val="0"/>
        <w:keepLines w:val="0"/>
        <w:pageBreakBefore w:val="0"/>
        <w:kinsoku/>
        <w:wordWrap/>
        <w:overflowPunct/>
        <w:topLinePunct w:val="0"/>
        <w:autoSpaceDE/>
        <w:autoSpaceDN/>
        <w:bidi w:val="0"/>
        <w:adjustRightInd/>
        <w:snapToGrid/>
        <w:spacing w:line="560" w:lineRule="exact"/>
        <w:jc w:val="both"/>
        <w:textAlignment w:val="auto"/>
        <w:rPr>
          <w:rFonts w:hint="default" w:ascii="仿宋_GB2312" w:hAnsi="仿宋_GB2312" w:eastAsia="仿宋_GB2312" w:cs="仿宋_GB2312"/>
          <w:sz w:val="32"/>
          <w:szCs w:val="32"/>
          <w:lang w:val="en-US" w:eastAsia="zh-CN"/>
        </w:rPr>
      </w:pPr>
      <w:r>
        <w:rPr>
          <w:rFonts w:hint="eastAsia" w:ascii="楷体_GB2312" w:hAnsi="楷体_GB2312" w:eastAsia="楷体_GB2312" w:cs="楷体_GB2312"/>
          <w:sz w:val="32"/>
          <w:szCs w:val="32"/>
          <w:lang w:val="en-US" w:eastAsia="zh-CN"/>
        </w:rPr>
        <w:t>（五）妥善安置退休人员</w:t>
      </w:r>
    </w:p>
    <w:p>
      <w:pPr>
        <w:keepNext w:val="0"/>
        <w:keepLines w:val="0"/>
        <w:pageBreakBefore w:val="0"/>
        <w:widowControl/>
        <w:suppressLineNumbers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四、战略提升，做大做实主营板块</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leftChars="0" w:firstLine="0" w:firstLineChars="0"/>
        <w:jc w:val="both"/>
        <w:textAlignment w:val="auto"/>
        <w:rPr>
          <w:rFonts w:hint="default"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（一）基础建设板块</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leftChars="0" w:firstLine="0" w:firstLineChars="0"/>
        <w:jc w:val="both"/>
        <w:textAlignment w:val="auto"/>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（二）金融投资板块</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leftChars="0" w:firstLine="0" w:firstLineChars="0"/>
        <w:jc w:val="both"/>
        <w:textAlignment w:val="auto"/>
        <w:rPr>
          <w:rFonts w:hint="eastAsia"/>
          <w:lang w:val="en-US" w:eastAsia="zh-CN"/>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（三）水务板块</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leftChars="0" w:firstLine="0" w:firstLineChars="0"/>
        <w:jc w:val="both"/>
        <w:textAlignment w:val="auto"/>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（四）粮食板块</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leftChars="0" w:firstLine="0" w:firstLineChars="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（五）现代服务业态</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leftChars="0" w:firstLine="0" w:firstLineChars="0"/>
        <w:jc w:val="both"/>
        <w:textAlignment w:val="auto"/>
        <w:rPr>
          <w:rFonts w:hint="eastAsia"/>
          <w:lang w:val="en-US" w:eastAsia="zh-CN"/>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（六）医养健康板块</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leftChars="0" w:firstLine="0" w:firstLineChars="0"/>
        <w:jc w:val="both"/>
        <w:textAlignment w:val="auto"/>
        <w:rPr>
          <w:rFonts w:hint="eastAsia"/>
          <w:lang w:val="en-US" w:eastAsia="zh-CN"/>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（七）智慧农业</w:t>
      </w:r>
    </w:p>
    <w:p>
      <w:pPr>
        <w:keepNext w:val="0"/>
        <w:keepLines w:val="0"/>
        <w:pageBreakBefore w:val="0"/>
        <w:widowControl/>
        <w:suppressLineNumbers w:val="0"/>
        <w:kinsoku/>
        <w:wordWrap/>
        <w:overflowPunct/>
        <w:topLinePunct w:val="0"/>
        <w:autoSpaceDE/>
        <w:autoSpaceDN/>
        <w:bidi w:val="0"/>
        <w:adjustRightInd/>
        <w:snapToGrid/>
        <w:spacing w:line="560" w:lineRule="exact"/>
        <w:jc w:val="both"/>
        <w:textAlignment w:val="auto"/>
        <w:rPr>
          <w:rFonts w:hint="default"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（八）盐业板块</w:t>
      </w:r>
    </w:p>
    <w:p>
      <w:pPr>
        <w:keepNext w:val="0"/>
        <w:keepLines w:val="0"/>
        <w:pageBreakBefore w:val="0"/>
        <w:widowControl/>
        <w:suppressLineNumbers w:val="0"/>
        <w:kinsoku/>
        <w:wordWrap/>
        <w:overflowPunct/>
        <w:topLinePunct w:val="0"/>
        <w:autoSpaceDE/>
        <w:autoSpaceDN/>
        <w:bidi w:val="0"/>
        <w:adjustRightInd/>
        <w:snapToGrid/>
        <w:spacing w:line="560" w:lineRule="exact"/>
        <w:jc w:val="both"/>
        <w:textAlignment w:val="auto"/>
        <w:rPr>
          <w:rFonts w:hint="default"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四、创新发展，探索绿色未来</w:t>
      </w:r>
    </w:p>
    <w:p>
      <w:pPr>
        <w:keepNext w:val="0"/>
        <w:keepLines w:val="0"/>
        <w:pageBreakBefore w:val="0"/>
        <w:widowControl/>
        <w:suppressLineNumbers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（一）进军环保板块</w:t>
      </w:r>
    </w:p>
    <w:p>
      <w:pPr>
        <w:keepNext w:val="0"/>
        <w:keepLines w:val="0"/>
        <w:pageBreakBefore w:val="0"/>
        <w:widowControl/>
        <w:suppressLineNumbers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（二）布局绿色产业</w:t>
      </w:r>
    </w:p>
    <w:p>
      <w:pPr>
        <w:keepNext w:val="0"/>
        <w:keepLines w:val="0"/>
        <w:pageBreakBefore w:val="0"/>
        <w:widowControl/>
        <w:suppressLineNumbers w:val="0"/>
        <w:kinsoku/>
        <w:wordWrap/>
        <w:overflowPunct/>
        <w:topLinePunct w:val="0"/>
        <w:autoSpaceDE/>
        <w:autoSpaceDN/>
        <w:bidi w:val="0"/>
        <w:adjustRightInd/>
        <w:snapToGrid/>
        <w:spacing w:line="560" w:lineRule="exact"/>
        <w:jc w:val="both"/>
        <w:textAlignment w:val="auto"/>
        <w:rPr>
          <w:rFonts w:hint="default"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（三）倡导绿色办公</w:t>
      </w:r>
    </w:p>
    <w:p>
      <w:pPr>
        <w:keepNext w:val="0"/>
        <w:keepLines w:val="0"/>
        <w:pageBreakBefore w:val="0"/>
        <w:widowControl/>
        <w:suppressLineNumbers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（四）持续节能减排</w:t>
      </w:r>
    </w:p>
    <w:p>
      <w:pPr>
        <w:keepNext w:val="0"/>
        <w:keepLines w:val="0"/>
        <w:pageBreakBefore w:val="0"/>
        <w:widowControl/>
        <w:suppressLineNumbers w:val="0"/>
        <w:kinsoku/>
        <w:wordWrap/>
        <w:overflowPunct/>
        <w:topLinePunct w:val="0"/>
        <w:autoSpaceDE/>
        <w:autoSpaceDN/>
        <w:bidi w:val="0"/>
        <w:adjustRightInd/>
        <w:snapToGrid/>
        <w:spacing w:line="560" w:lineRule="exact"/>
        <w:jc w:val="both"/>
        <w:textAlignment w:val="auto"/>
        <w:rPr>
          <w:rFonts w:hint="default"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五、严管厚爱，打造一流团队</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0" w:firstLineChars="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（一）持续</w:t>
      </w:r>
      <w:r>
        <w:rPr>
          <w:rFonts w:hint="eastAsia" w:ascii="楷体_GB2312" w:hAnsi="楷体_GB2312" w:eastAsia="楷体_GB2312" w:cs="楷体_GB2312"/>
          <w:sz w:val="32"/>
          <w:szCs w:val="32"/>
          <w:lang w:val="en-US" w:eastAsia="zh-CN"/>
        </w:rPr>
        <w:t>推进人才强企战略</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0" w:firstLineChars="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（二）</w:t>
      </w:r>
      <w:r>
        <w:rPr>
          <w:rFonts w:hint="eastAsia" w:ascii="楷体_GB2312" w:hAnsi="楷体_GB2312" w:eastAsia="楷体_GB2312" w:cs="楷体_GB2312"/>
          <w:sz w:val="32"/>
          <w:szCs w:val="32"/>
          <w:lang w:val="en-US" w:eastAsia="zh-CN"/>
        </w:rPr>
        <w:t>尊重员工价值，注重员工能力开发</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0" w:firstLineChars="0"/>
        <w:jc w:val="both"/>
        <w:textAlignment w:val="auto"/>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t>（三）高度重视员工权益保障</w:t>
      </w:r>
    </w:p>
    <w:p>
      <w:pPr>
        <w:keepNext w:val="0"/>
        <w:keepLines w:val="0"/>
        <w:pageBreakBefore w:val="0"/>
        <w:kinsoku/>
        <w:wordWrap/>
        <w:overflowPunct/>
        <w:topLinePunct w:val="0"/>
        <w:autoSpaceDE/>
        <w:autoSpaceDN/>
        <w:bidi w:val="0"/>
        <w:adjustRightInd/>
        <w:snapToGrid/>
        <w:spacing w:line="560" w:lineRule="exact"/>
        <w:ind w:firstLine="0" w:firstLineChars="0"/>
        <w:jc w:val="both"/>
        <w:textAlignment w:val="auto"/>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br w:type="page"/>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eastAsia" w:ascii="黑体" w:hAnsi="黑体" w:eastAsia="黑体" w:cs="黑体"/>
          <w:color w:val="000000" w:themeColor="text1"/>
          <w:sz w:val="32"/>
          <w:szCs w:val="32"/>
          <w14:textFill>
            <w14:solidFill>
              <w14:schemeClr w14:val="tx1"/>
            </w14:solidFill>
          </w14:textFill>
        </w:rPr>
      </w:pPr>
      <w:r>
        <w:rPr>
          <w:rFonts w:hint="eastAsia" w:ascii="黑体" w:hAnsi="黑体" w:eastAsia="黑体" w:cs="黑体"/>
          <w:color w:val="000000" w:themeColor="text1"/>
          <w:kern w:val="0"/>
          <w:sz w:val="32"/>
          <w:szCs w:val="32"/>
          <w:lang w:val="en-US" w:eastAsia="zh-CN" w:bidi="ar"/>
          <w14:textFill>
            <w14:solidFill>
              <w14:schemeClr w14:val="tx1"/>
            </w14:solidFill>
          </w14:textFill>
        </w:rPr>
        <w:t>一、前言</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default"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（一）董事长致辞</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2020</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年，财金集团在市委、市政府的坚强领导和市国资委的科学指导下，实施战略提升，深化改革创新，强化主营主业，提升管理管控。财金集团党委科学研判、精准把握疫情和外部环境带来的影响，抢抓发展机遇，把稳改革方向，有效对冲不利影响，带领集团实现了逆周期加快发展。</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b/>
          <w:bCs/>
          <w:color w:val="000000" w:themeColor="text1"/>
          <w:kern w:val="0"/>
          <w:sz w:val="32"/>
          <w:szCs w:val="32"/>
          <w:lang w:val="en-US" w:eastAsia="zh-CN" w:bidi="ar"/>
          <w14:textFill>
            <w14:solidFill>
              <w14:schemeClr w14:val="tx1"/>
            </w14:solidFill>
          </w14:textFill>
        </w:rPr>
        <w:t>这一年，我们有了更高的政治站位，</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坚持党的领导，把国有企业政治优势转化为竞争和发展优势；</w:t>
      </w:r>
      <w:r>
        <w:rPr>
          <w:rFonts w:hint="eastAsia" w:ascii="仿宋_GB2312" w:hAnsi="仿宋_GB2312" w:eastAsia="仿宋_GB2312" w:cs="仿宋_GB2312"/>
          <w:b/>
          <w:bCs/>
          <w:color w:val="000000" w:themeColor="text1"/>
          <w:kern w:val="0"/>
          <w:sz w:val="32"/>
          <w:szCs w:val="32"/>
          <w:lang w:val="en-US" w:eastAsia="zh-CN" w:bidi="ar"/>
          <w14:textFill>
            <w14:solidFill>
              <w14:schemeClr w14:val="tx1"/>
            </w14:solidFill>
          </w14:textFill>
        </w:rPr>
        <w:t>我们有了更远的规划目标，</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坚持“城市建设运营商、产业发展助推器”发展定位，“市场化、专业化、实体化、规范化”发展思路，突破“十四五”，打造“省内一流、国内知名”的航母级投资控股集团；</w:t>
      </w:r>
      <w:r>
        <w:rPr>
          <w:rFonts w:hint="eastAsia" w:ascii="仿宋_GB2312" w:hAnsi="仿宋_GB2312" w:eastAsia="仿宋_GB2312" w:cs="仿宋_GB2312"/>
          <w:b/>
          <w:bCs/>
          <w:color w:val="000000" w:themeColor="text1"/>
          <w:kern w:val="0"/>
          <w:sz w:val="32"/>
          <w:szCs w:val="32"/>
          <w:lang w:val="en-US" w:eastAsia="zh-CN" w:bidi="ar"/>
          <w14:textFill>
            <w14:solidFill>
              <w14:schemeClr w14:val="tx1"/>
            </w14:solidFill>
          </w14:textFill>
        </w:rPr>
        <w:t>我们有了更大的使命担当，</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作为国有企业切实发挥有效市场和有为政府的桥梁、纽带、联结作用，国计民生和安全命脉工程项目的承接、保障、实施作用，产业发展和招商引资的引导、放大、平台作用，区域风险和纾困解难的平衡、支持、托底作用；</w:t>
      </w:r>
      <w:r>
        <w:rPr>
          <w:rFonts w:hint="eastAsia" w:ascii="仿宋_GB2312" w:hAnsi="仿宋_GB2312" w:eastAsia="仿宋_GB2312" w:cs="仿宋_GB2312"/>
          <w:b/>
          <w:bCs/>
          <w:color w:val="000000" w:themeColor="text1"/>
          <w:kern w:val="0"/>
          <w:sz w:val="32"/>
          <w:szCs w:val="32"/>
          <w:lang w:val="en-US" w:eastAsia="zh-CN" w:bidi="ar"/>
          <w14:textFill>
            <w14:solidFill>
              <w14:schemeClr w14:val="tx1"/>
            </w14:solidFill>
          </w14:textFill>
        </w:rPr>
        <w:t>我们有了更强的专业能力，</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坚持金融思维，拥抱资本时代，实现资产管理到资本运营，传统融资到资本运作；</w:t>
      </w:r>
      <w:r>
        <w:rPr>
          <w:rFonts w:hint="eastAsia" w:ascii="仿宋_GB2312" w:hAnsi="仿宋_GB2312" w:eastAsia="仿宋_GB2312" w:cs="仿宋_GB2312"/>
          <w:b/>
          <w:bCs/>
          <w:color w:val="000000" w:themeColor="text1"/>
          <w:kern w:val="0"/>
          <w:sz w:val="32"/>
          <w:szCs w:val="32"/>
          <w:lang w:val="en-US" w:eastAsia="zh-CN" w:bidi="ar"/>
          <w14:textFill>
            <w14:solidFill>
              <w14:schemeClr w14:val="tx1"/>
            </w14:solidFill>
          </w14:textFill>
        </w:rPr>
        <w:t>我们有了更新的系统观念，</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提高两级看问题，放眼全局找位置，坚持战略谋划、战略定力，坚持系统思维、发展思维。</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2021</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年，</w:t>
      </w:r>
      <w:r>
        <w:rPr>
          <w:rFonts w:eastAsia="仿宋_GB2312"/>
          <w:color w:val="auto"/>
          <w:sz w:val="32"/>
          <w:szCs w:val="32"/>
        </w:rPr>
        <w:t>是</w:t>
      </w:r>
      <w:r>
        <w:rPr>
          <w:rFonts w:hint="eastAsia" w:eastAsia="仿宋_GB2312"/>
          <w:color w:val="auto"/>
          <w:sz w:val="32"/>
          <w:szCs w:val="32"/>
          <w:lang w:eastAsia="zh-CN"/>
        </w:rPr>
        <w:t>“</w:t>
      </w:r>
      <w:r>
        <w:rPr>
          <w:rFonts w:eastAsia="仿宋_GB2312"/>
          <w:color w:val="auto"/>
          <w:sz w:val="32"/>
          <w:szCs w:val="32"/>
        </w:rPr>
        <w:t>十四五</w:t>
      </w:r>
      <w:r>
        <w:rPr>
          <w:rFonts w:hint="eastAsia" w:eastAsia="仿宋_GB2312"/>
          <w:color w:val="auto"/>
          <w:sz w:val="32"/>
          <w:szCs w:val="32"/>
          <w:lang w:eastAsia="zh-CN"/>
        </w:rPr>
        <w:t>”</w:t>
      </w:r>
      <w:r>
        <w:rPr>
          <w:rFonts w:eastAsia="仿宋_GB2312"/>
          <w:color w:val="auto"/>
          <w:sz w:val="32"/>
          <w:szCs w:val="32"/>
        </w:rPr>
        <w:t>开局之年，也是财金集团第二个</w:t>
      </w:r>
      <w:r>
        <w:rPr>
          <w:rFonts w:hint="eastAsia" w:eastAsia="仿宋_GB2312"/>
          <w:color w:val="auto"/>
          <w:sz w:val="32"/>
          <w:szCs w:val="32"/>
          <w:lang w:eastAsia="zh-CN"/>
        </w:rPr>
        <w:t>“</w:t>
      </w:r>
      <w:r>
        <w:rPr>
          <w:rFonts w:eastAsia="仿宋_GB2312"/>
          <w:color w:val="auto"/>
          <w:sz w:val="32"/>
          <w:szCs w:val="32"/>
        </w:rPr>
        <w:t>三年战略</w:t>
      </w:r>
      <w:r>
        <w:rPr>
          <w:rFonts w:hint="eastAsia" w:eastAsia="仿宋_GB2312"/>
          <w:color w:val="auto"/>
          <w:sz w:val="32"/>
          <w:szCs w:val="32"/>
          <w:lang w:eastAsia="zh-CN"/>
        </w:rPr>
        <w:t>”</w:t>
      </w:r>
      <w:r>
        <w:rPr>
          <w:rFonts w:eastAsia="仿宋_GB2312"/>
          <w:color w:val="auto"/>
          <w:sz w:val="32"/>
          <w:szCs w:val="32"/>
        </w:rPr>
        <w:t>的收官之年，</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市委、市政府对国资国企的重视程度前所未有，</w:t>
      </w:r>
      <w:r>
        <w:rPr>
          <w:rFonts w:eastAsia="仿宋_GB2312"/>
          <w:color w:val="auto"/>
          <w:sz w:val="32"/>
          <w:szCs w:val="32"/>
        </w:rPr>
        <w:t>机遇和挑战并存</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。“把不可能变成可能”是我们攻坚克难的理念和信条，我们决不辜负各级领导、社会各界的期望、培育和厚爱，干字当头，勇于担当，变革突破，为建设新时代现代化新德州作出新的更大贡献。</w:t>
      </w: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 xml:space="preserve"> </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（二）公司简介</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德州财金投资控股集团有限公司是德州市属国有独资企业，</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2015</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年</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12</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月</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26</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日注册设立，截至目前，注册资本金</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30</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亿元，总资产</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425</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56</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亿元，</w:t>
      </w:r>
      <w:r>
        <w:rPr>
          <w:rFonts w:hint="default" w:ascii="Times New Roman" w:hAnsi="Times New Roman" w:eastAsia="仿宋_GB2312" w:cs="Times New Roman"/>
          <w:color w:val="000000" w:themeColor="text1"/>
          <w:kern w:val="0"/>
          <w:sz w:val="32"/>
          <w:szCs w:val="32"/>
          <w:lang w:val="en-US" w:eastAsia="zh-CN" w:bidi="ar"/>
          <w14:textFill>
            <w14:solidFill>
              <w14:schemeClr w14:val="tx1"/>
            </w14:solidFill>
          </w14:textFill>
        </w:rPr>
        <w:t>AA</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+主体信用评级，员工</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1700</w:t>
      </w:r>
      <w:r>
        <w:rPr>
          <w:rFonts w:hint="eastAsia" w:ascii="Times New Roman" w:hAnsi="Times New Roman" w:eastAsia="仿宋_GB2312" w:cs="Times New Roman"/>
          <w:color w:val="000000" w:themeColor="text1"/>
          <w:kern w:val="0"/>
          <w:sz w:val="32"/>
          <w:szCs w:val="32"/>
          <w:lang w:val="en-US" w:eastAsia="zh-CN" w:bidi="ar"/>
          <w14:textFill>
            <w14:solidFill>
              <w14:schemeClr w14:val="tx1"/>
            </w14:solidFill>
          </w14:textFill>
        </w:rPr>
        <w:t>余</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人。主要业务范围是：政府授权范围内的国有资产运营，承接棚户区改造、教育设施改造等城乡基础设施和公共服务设施建设、投资及运营管理，股权投资，保障性住房及其它房地产开发建设。</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公司坚持顶层设计，谋划实施了“</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12345</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”发展战略。“</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1</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”是围绕一个目标：通过</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3</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5</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年的努力，打造成为注册资本</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50</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亿元、总资产不低于</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500</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亿元、信用评级达到</w:t>
      </w:r>
      <w:r>
        <w:rPr>
          <w:rFonts w:hint="default" w:ascii="Times New Roman" w:hAnsi="Times New Roman" w:eastAsia="仿宋_GB2312" w:cs="Times New Roman"/>
          <w:color w:val="000000" w:themeColor="text1"/>
          <w:kern w:val="0"/>
          <w:sz w:val="32"/>
          <w:szCs w:val="32"/>
          <w:lang w:val="en-US" w:eastAsia="zh-CN" w:bidi="ar"/>
          <w14:textFill>
            <w14:solidFill>
              <w14:schemeClr w14:val="tx1"/>
            </w14:solidFill>
          </w14:textFill>
        </w:rPr>
        <w:t>AA</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+级以上的财金投资控股集团。“</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2</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”是两大定位：“城市建设运营商，产业发展助推器”，围绕着实体经济、实体企业做贡献。“</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3</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”是三个通道：国有资本运营通道、政策性的融资通道、财政投融资方式的变革通道。“</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4</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”是四个板块：基础建设板块、产业投资板块、金融服务板块、国有资本运营板块。“</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5</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”是五个链条：金融、投资、城建、地产、实业五个上下连接、相互贯通、系统运作的产业链条。</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公司探索完善了以促进城市发展为动力的基础设施板块，以增强人民幸福感为中心的民生事业板块，以服务企业发展为目标的金融服务板块以助力产业升级为导向的产业投资板块等四大主营业务板块。构造搭建了党建体系、融资体系、财务管控体系、人力资源体系、投资体系、风险控制体系、法务审计体系、工程项目管理体系、纪检监察体系、日常管理体系等十大战略体系。着力打造现代智慧农业产业园、新能源装备产业园、医养健康产业园、绿动能产业园、军供产业园等五大产业园区。</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目前，公司拥有较为雄厚的资产实力、高素质的专业化团队和广泛的市场资源，建立了规范的治理结构、科学高效的决策机制和完善的风险管理体系，在项目开发、论证决策、资源整合、投后管理、风险管控等方面积累了经验，初步发展为能融资、能投资，能建设、能运营，可持续、可造血的现代国有企业。</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firstLine="640" w:firstLineChars="200"/>
        <w:jc w:val="both"/>
        <w:textAlignment w:val="auto"/>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（三）公司治理与组织结构</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建立现代企业制度，健全了“三会一层”法人治理结构，建立了规范的经营管理机制、科学的决策机制和风险防控机制。集团总部设有综合办公室、纪委办公室、党群工作部、财务管理部（结算中心）、人力资源部、战略发展部、审计法务部、投资发展部、金融事业部、工程管理部八部二室，组建了专业化的人才团队，拥有</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23</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个全资子公司、</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5</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个控股公司和</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13</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个参股公司。</w:t>
      </w:r>
    </w:p>
    <w:p>
      <w:pPr>
        <w:pStyle w:val="2"/>
        <w:keepNext w:val="0"/>
        <w:keepLines w:val="0"/>
        <w:pageBreakBefore w:val="0"/>
        <w:kinsoku/>
        <w:wordWrap/>
        <w:overflowPunct/>
        <w:topLinePunct w:val="0"/>
        <w:bidi w:val="0"/>
        <w:snapToGrid/>
        <w:spacing w:line="560" w:lineRule="exact"/>
        <w:ind w:firstLine="640" w:firstLineChars="200"/>
        <w:jc w:val="both"/>
        <w:textAlignment w:val="auto"/>
        <w:rPr>
          <w:rFonts w:hint="default"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财金集团由德州市国资委履行出资人职责，党委前置、党建入章，董事会负责“三重一大”事项决策，经理层负责工作执行。董事会成员</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5</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人，其中</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4</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人为市国资委委派，</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1</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人为职工董事。内设战略规划委员会、风险控制委员会、审计委员会、投资决策委员会、薪酬考核委员会；监事会成员</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5</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人。</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firstLine="640" w:firstLineChars="200"/>
        <w:jc w:val="both"/>
        <w:textAlignment w:val="auto"/>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（四）企业文化及战略定位</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b/>
          <w:bCs/>
          <w:color w:val="000000" w:themeColor="text1"/>
          <w:kern w:val="0"/>
          <w:sz w:val="32"/>
          <w:szCs w:val="32"/>
          <w:lang w:val="en-US" w:eastAsia="zh-CN" w:bidi="ar"/>
          <w14:textFill>
            <w14:solidFill>
              <w14:schemeClr w14:val="tx1"/>
            </w14:solidFill>
          </w14:textFill>
        </w:rPr>
        <w:t>企业使命:</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城市建设运营商，产业发展助推器。</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b/>
          <w:bCs/>
          <w:color w:val="000000" w:themeColor="text1"/>
          <w:kern w:val="0"/>
          <w:sz w:val="32"/>
          <w:szCs w:val="32"/>
          <w:lang w:val="en-US" w:eastAsia="zh-CN" w:bidi="ar"/>
          <w14:textFill>
            <w14:solidFill>
              <w14:schemeClr w14:val="tx1"/>
            </w14:solidFill>
          </w14:textFill>
        </w:rPr>
        <w:t>经营理念:</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政府主导、金融先导、产融结合、以融促产。</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b/>
          <w:bCs/>
          <w:color w:val="000000" w:themeColor="text1"/>
          <w:kern w:val="0"/>
          <w:sz w:val="32"/>
          <w:szCs w:val="32"/>
          <w:lang w:val="en-US" w:eastAsia="zh-CN" w:bidi="ar"/>
          <w14:textFill>
            <w14:solidFill>
              <w14:schemeClr w14:val="tx1"/>
            </w14:solidFill>
          </w14:textFill>
        </w:rPr>
        <w:t>发展理念:</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市场化、专业化、实体化、规范化。</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b/>
          <w:bCs/>
          <w:color w:val="000000" w:themeColor="text1"/>
          <w:kern w:val="0"/>
          <w:sz w:val="32"/>
          <w:szCs w:val="32"/>
          <w:lang w:val="en-US" w:eastAsia="zh-CN" w:bidi="ar"/>
          <w14:textFill>
            <w14:solidFill>
              <w14:schemeClr w14:val="tx1"/>
            </w14:solidFill>
          </w14:textFill>
        </w:rPr>
        <w:t>管理理念:</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唯严谨才高效率，唯秩序才高效能。</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b/>
          <w:bCs/>
          <w:color w:val="000000" w:themeColor="text1"/>
          <w:kern w:val="0"/>
          <w:sz w:val="32"/>
          <w:szCs w:val="32"/>
          <w:lang w:val="en-US" w:eastAsia="zh-CN" w:bidi="ar"/>
          <w14:textFill>
            <w14:solidFill>
              <w14:schemeClr w14:val="tx1"/>
            </w14:solidFill>
          </w14:textFill>
        </w:rPr>
        <w:t>人才理念:</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能者上、平者让、庸者下。</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b/>
          <w:bCs/>
          <w:color w:val="000000" w:themeColor="text1"/>
          <w:kern w:val="0"/>
          <w:sz w:val="32"/>
          <w:szCs w:val="32"/>
          <w:lang w:val="en-US" w:eastAsia="zh-CN" w:bidi="ar"/>
          <w14:textFill>
            <w14:solidFill>
              <w14:schemeClr w14:val="tx1"/>
            </w14:solidFill>
          </w14:textFill>
        </w:rPr>
        <w:t>工作理念:</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谦虚、谨慎、低调、务实。</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b/>
          <w:bCs/>
          <w:color w:val="000000" w:themeColor="text1"/>
          <w:kern w:val="0"/>
          <w:sz w:val="32"/>
          <w:szCs w:val="32"/>
          <w:lang w:val="en-US" w:eastAsia="zh-CN" w:bidi="ar"/>
          <w14:textFill>
            <w14:solidFill>
              <w14:schemeClr w14:val="tx1"/>
            </w14:solidFill>
          </w14:textFill>
        </w:rPr>
        <w:t>文化理念:</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坚韧、执着、担当、责任。</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b/>
          <w:bCs/>
          <w:color w:val="000000" w:themeColor="text1"/>
          <w:kern w:val="0"/>
          <w:sz w:val="32"/>
          <w:szCs w:val="32"/>
          <w:lang w:val="en-US" w:eastAsia="zh-CN" w:bidi="ar"/>
          <w14:textFill>
            <w14:solidFill>
              <w14:schemeClr w14:val="tx1"/>
            </w14:solidFill>
          </w14:textFill>
        </w:rPr>
        <w:t>环境理念:</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洁、齐、静、安。</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b/>
          <w:bCs/>
          <w:color w:val="000000" w:themeColor="text1"/>
          <w:kern w:val="0"/>
          <w:sz w:val="32"/>
          <w:szCs w:val="32"/>
          <w:lang w:val="en-US" w:eastAsia="zh-CN" w:bidi="ar"/>
          <w14:textFill>
            <w14:solidFill>
              <w14:schemeClr w14:val="tx1"/>
            </w14:solidFill>
          </w14:textFill>
        </w:rPr>
        <w:t>十大铁律：</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绝对忠诚公司、认同公司文化、维护公司声誉</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2240" w:firstLineChars="700"/>
        <w:jc w:val="both"/>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塑造团队精神、保持创业激情、坚持真抓实干</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2240" w:firstLineChars="700"/>
        <w:jc w:val="both"/>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保证效率至上、持续学习提升、执行不讲条件</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2240" w:firstLineChars="700"/>
        <w:jc w:val="both"/>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时刻敬畏权责</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firstLine="640" w:firstLineChars="200"/>
        <w:jc w:val="both"/>
        <w:textAlignment w:val="auto"/>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（五）集团荣誉</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财金集团先后获得“省级文明单位”“</w:t>
      </w:r>
      <w:r>
        <w:rPr>
          <w:rFonts w:hint="default" w:ascii="Times New Roman" w:hAnsi="Times New Roman" w:eastAsia="仿宋_GB2312" w:cs="Times New Roman"/>
          <w:color w:val="000000" w:themeColor="text1"/>
          <w:kern w:val="0"/>
          <w:sz w:val="32"/>
          <w:szCs w:val="32"/>
          <w:lang w:val="en-US" w:eastAsia="zh-CN" w:bidi="ar"/>
          <w14:textFill>
            <w14:solidFill>
              <w14:schemeClr w14:val="tx1"/>
            </w14:solidFill>
          </w14:textFill>
        </w:rPr>
        <w:t>AAA</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级德州市和谐劳动关系单位”“全市机关过硬党支部”“市直机关先进基层党组织”“市国资委先进基层党组织”</w:t>
      </w:r>
      <w:r>
        <w:rPr>
          <w:rFonts w:hint="eastAsia" w:ascii="仿宋_GB2312" w:hAnsi="仿宋_GB2312" w:eastAsia="仿宋_GB2312" w:cs="仿宋_GB2312"/>
          <w:b w:val="0"/>
          <w:bCs w:val="0"/>
          <w:sz w:val="32"/>
          <w:szCs w:val="32"/>
        </w:rPr>
        <w:t>“职工之家”“五四红旗”团委</w:t>
      </w:r>
      <w:r>
        <w:rPr>
          <w:rFonts w:hint="eastAsia" w:ascii="仿宋_GB2312" w:hAnsi="仿宋_GB2312" w:eastAsia="仿宋_GB2312" w:cs="仿宋_GB2312"/>
          <w:b w:val="0"/>
          <w:bCs w:val="0"/>
          <w:sz w:val="32"/>
          <w:szCs w:val="32"/>
          <w:lang w:val="en-US" w:eastAsia="zh-CN"/>
        </w:rPr>
        <w:t>等</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荣誉称号，集团财务管理部荣获“市巾帼文明岗”荣誉称号。</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default" w:ascii="黑体" w:hAnsi="黑体" w:eastAsia="黑体" w:cs="黑体"/>
          <w:color w:val="000000" w:themeColor="text1"/>
          <w:kern w:val="0"/>
          <w:sz w:val="32"/>
          <w:szCs w:val="32"/>
          <w:lang w:val="en-US" w:eastAsia="zh-CN" w:bidi="ar"/>
          <w14:textFill>
            <w14:solidFill>
              <w14:schemeClr w14:val="tx1"/>
            </w14:solidFill>
          </w14:textFill>
        </w:rPr>
      </w:pPr>
      <w:r>
        <w:rPr>
          <w:rFonts w:hint="eastAsia" w:ascii="黑体" w:hAnsi="黑体" w:eastAsia="黑体" w:cs="黑体"/>
          <w:color w:val="000000" w:themeColor="text1"/>
          <w:kern w:val="0"/>
          <w:sz w:val="32"/>
          <w:szCs w:val="32"/>
          <w:lang w:val="en-US" w:eastAsia="zh-CN" w:bidi="ar"/>
          <w14:textFill>
            <w14:solidFill>
              <w14:schemeClr w14:val="tx1"/>
            </w14:solidFill>
          </w14:textFill>
        </w:rPr>
        <w:t>二、社会责任管理体系</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（一）工作体系。</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财金集团形成了由董事长、总经理牵头，由集团各部门及直属企业负责人共</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20</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余人组成的社会责任工作机构，建立了有效的工作机制，明确了集团及各直属企业社会责任管理责任人、工作部门和具体工作人员。</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（二）责任治理。</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财金集团综合办公室负责统筹、协调、推进集团社会责任工作，负责制定社会责任年度计划、编制发布集团社会责任报告等工作；集团各部室结合自身职能负责相关领域社会责任工作督导与落实；各直属企业主要负责人，协调推进直属企业社会责任工作，并与集团综合办公室保持沟通。</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（三）责任沟通。</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财金集团深入研究利益相关方的期望与诉求，构建常态化沟通机制，积极回应政府、国资委、员工、合作伙伴、社区等利益相关方的期望和诉求，及时传播公司履责动态，回应利益相关方关切。</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黑体" w:hAnsi="黑体" w:eastAsia="黑体" w:cs="黑体"/>
          <w:color w:val="000000" w:themeColor="text1"/>
          <w:kern w:val="0"/>
          <w:sz w:val="32"/>
          <w:szCs w:val="32"/>
          <w:lang w:val="en-US" w:eastAsia="zh-CN" w:bidi="ar"/>
          <w14:textFill>
            <w14:solidFill>
              <w14:schemeClr w14:val="tx1"/>
            </w14:solidFill>
          </w14:textFill>
        </w:rPr>
        <w:t>三、党建引领，切实履行社会责任</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财金集团始终坚持党对国企全面领导不动摇，切实增强“四个意识”、坚定“四个自信”、做到“两个维护”，不断强化党组织自身建设，着力提升党委的领导力、党支部的凝聚力和党员的战斗力。</w:t>
      </w:r>
    </w:p>
    <w:p>
      <w:pPr>
        <w:keepNext w:val="0"/>
        <w:keepLines w:val="0"/>
        <w:pageBreakBefore w:val="0"/>
        <w:widowControl w:val="0"/>
        <w:numPr>
          <w:ilvl w:val="0"/>
          <w:numId w:val="0"/>
        </w:numPr>
        <w:kinsoku/>
        <w:wordWrap/>
        <w:overflowPunct/>
        <w:topLinePunct w:val="0"/>
        <w:bidi w:val="0"/>
        <w:snapToGrid/>
        <w:spacing w:line="560" w:lineRule="exact"/>
        <w:ind w:firstLine="640" w:firstLineChars="200"/>
        <w:jc w:val="both"/>
        <w:textAlignment w:val="auto"/>
        <w:rPr>
          <w:rFonts w:hint="eastAsia"/>
          <w:lang w:val="en-US" w:eastAsia="zh-CN"/>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（一）党建引领培根铸魂。</w:t>
      </w:r>
      <w:r>
        <w:rPr>
          <w:rFonts w:hint="eastAsia" w:ascii="黑体" w:hAnsi="黑体" w:eastAsia="黑体" w:cs="黑体"/>
          <w:color w:val="auto"/>
          <w:sz w:val="32"/>
          <w:szCs w:val="32"/>
          <w:lang w:val="en-US" w:eastAsia="zh-CN"/>
        </w:rPr>
        <w:t>一</w:t>
      </w:r>
      <w:r>
        <w:rPr>
          <w:rFonts w:hint="eastAsia" w:ascii="黑体" w:hAnsi="黑体" w:eastAsia="黑体" w:cs="黑体"/>
          <w:color w:val="auto"/>
          <w:sz w:val="32"/>
          <w:szCs w:val="32"/>
        </w:rPr>
        <w:t>是</w:t>
      </w:r>
      <w:r>
        <w:rPr>
          <w:rFonts w:hint="eastAsia" w:eastAsia="仿宋_GB2312"/>
          <w:color w:val="auto"/>
          <w:sz w:val="32"/>
          <w:szCs w:val="32"/>
        </w:rPr>
        <w:t>突出党建引领。把</w:t>
      </w:r>
      <w:r>
        <w:rPr>
          <w:rFonts w:hint="eastAsia" w:eastAsia="仿宋_GB2312"/>
          <w:color w:val="auto"/>
          <w:sz w:val="32"/>
          <w:szCs w:val="32"/>
          <w:lang w:eastAsia="zh-CN"/>
        </w:rPr>
        <w:t>党</w:t>
      </w:r>
      <w:r>
        <w:rPr>
          <w:rFonts w:hint="eastAsia" w:eastAsia="仿宋_GB2312"/>
          <w:color w:val="auto"/>
          <w:sz w:val="32"/>
          <w:szCs w:val="32"/>
        </w:rPr>
        <w:t>的领导融入公司治理，制定党委研究决定、前置研究讨论、负面清单示范文本</w:t>
      </w:r>
      <w:r>
        <w:rPr>
          <w:rFonts w:hint="eastAsia" w:eastAsia="仿宋_GB2312"/>
          <w:color w:val="auto"/>
          <w:sz w:val="32"/>
          <w:szCs w:val="32"/>
          <w:lang w:eastAsia="zh-CN"/>
        </w:rPr>
        <w:t>，</w:t>
      </w:r>
      <w:r>
        <w:rPr>
          <w:rFonts w:hint="eastAsia" w:eastAsia="仿宋_GB2312"/>
          <w:color w:val="auto"/>
          <w:sz w:val="32"/>
          <w:szCs w:val="32"/>
        </w:rPr>
        <w:t>支持经理层落实党委会、董事会决策部署。</w:t>
      </w:r>
      <w:r>
        <w:rPr>
          <w:rFonts w:hint="eastAsia" w:eastAsia="仿宋_GB2312"/>
          <w:color w:val="auto"/>
          <w:sz w:val="32"/>
          <w:szCs w:val="32"/>
          <w:lang w:val="en-US" w:eastAsia="zh-CN"/>
        </w:rPr>
        <w:t>狠抓意识形态工作，</w:t>
      </w:r>
      <w:r>
        <w:rPr>
          <w:rFonts w:hint="eastAsia" w:eastAsia="仿宋_GB2312"/>
          <w:color w:val="auto"/>
          <w:sz w:val="32"/>
          <w:szCs w:val="32"/>
        </w:rPr>
        <w:t>强化党内教育培训，大力实施“双培双促”工程，筑牢理想信念。</w:t>
      </w:r>
      <w:r>
        <w:rPr>
          <w:rFonts w:hint="eastAsia" w:hAnsi="黑体" w:eastAsia="黑体"/>
          <w:bCs/>
          <w:color w:val="auto"/>
          <w:sz w:val="32"/>
          <w:szCs w:val="32"/>
          <w:lang w:val="en-US" w:eastAsia="zh-CN"/>
        </w:rPr>
        <w:t>二</w:t>
      </w:r>
      <w:r>
        <w:rPr>
          <w:rFonts w:hAnsi="黑体" w:eastAsia="黑体"/>
          <w:bCs/>
          <w:color w:val="auto"/>
          <w:sz w:val="32"/>
          <w:szCs w:val="32"/>
        </w:rPr>
        <w:t>是</w:t>
      </w:r>
      <w:r>
        <w:rPr>
          <w:rFonts w:eastAsia="仿宋_GB2312"/>
          <w:color w:val="auto"/>
          <w:sz w:val="32"/>
          <w:szCs w:val="32"/>
        </w:rPr>
        <w:t>强化</w:t>
      </w:r>
      <w:r>
        <w:rPr>
          <w:rFonts w:hint="eastAsia" w:eastAsia="仿宋_GB2312"/>
          <w:color w:val="auto"/>
          <w:sz w:val="32"/>
          <w:szCs w:val="32"/>
          <w:lang w:val="en-US" w:eastAsia="zh-CN"/>
        </w:rPr>
        <w:t>基层</w:t>
      </w:r>
      <w:r>
        <w:rPr>
          <w:rFonts w:eastAsia="仿宋_GB2312"/>
          <w:color w:val="auto"/>
          <w:sz w:val="32"/>
          <w:szCs w:val="32"/>
        </w:rPr>
        <w:t>组织建设。</w:t>
      </w:r>
      <w:r>
        <w:rPr>
          <w:rFonts w:hint="eastAsia" w:eastAsia="仿宋_GB2312"/>
          <w:color w:val="auto"/>
          <w:sz w:val="32"/>
          <w:szCs w:val="32"/>
        </w:rPr>
        <w:t>全面推进过硬党支部建设</w:t>
      </w:r>
      <w:r>
        <w:rPr>
          <w:rFonts w:hint="eastAsia" w:eastAsia="仿宋_GB2312"/>
          <w:color w:val="auto"/>
          <w:sz w:val="32"/>
          <w:szCs w:val="32"/>
          <w:lang w:eastAsia="zh-CN"/>
        </w:rPr>
        <w:t>，</w:t>
      </w:r>
      <w:r>
        <w:rPr>
          <w:rFonts w:hint="eastAsia" w:eastAsia="仿宋_GB2312"/>
          <w:color w:val="auto"/>
          <w:sz w:val="32"/>
          <w:szCs w:val="32"/>
        </w:rPr>
        <w:t>深化“一支部一品牌一特色”</w:t>
      </w:r>
      <w:r>
        <w:rPr>
          <w:rFonts w:hint="eastAsia" w:eastAsia="仿宋_GB2312"/>
          <w:color w:val="auto"/>
          <w:sz w:val="32"/>
          <w:szCs w:val="32"/>
          <w:lang w:eastAsia="zh-CN"/>
        </w:rPr>
        <w:t>，创建“财金自燃人”等党建品牌，</w:t>
      </w:r>
      <w:r>
        <w:rPr>
          <w:rFonts w:eastAsia="仿宋_GB2312"/>
          <w:color w:val="auto"/>
          <w:sz w:val="32"/>
          <w:szCs w:val="32"/>
        </w:rPr>
        <w:t>所有支部均达到</w:t>
      </w:r>
      <w:r>
        <w:rPr>
          <w:rFonts w:hint="default" w:ascii="Times New Roman" w:hAnsi="Times New Roman" w:eastAsia="仿宋_GB2312" w:cs="Times New Roman"/>
          <w:color w:val="auto"/>
          <w:sz w:val="32"/>
          <w:szCs w:val="32"/>
        </w:rPr>
        <w:t>A</w:t>
      </w:r>
      <w:r>
        <w:rPr>
          <w:rFonts w:eastAsia="仿宋_GB2312"/>
          <w:color w:val="auto"/>
          <w:sz w:val="32"/>
          <w:szCs w:val="32"/>
        </w:rPr>
        <w:t>类标准。</w:t>
      </w:r>
      <w:r>
        <w:rPr>
          <w:rFonts w:hint="eastAsia" w:ascii="黑体" w:hAnsi="黑体" w:eastAsia="黑体" w:cs="黑体"/>
          <w:color w:val="auto"/>
          <w:sz w:val="32"/>
          <w:szCs w:val="32"/>
        </w:rPr>
        <w:t>三是</w:t>
      </w:r>
      <w:r>
        <w:rPr>
          <w:rFonts w:hint="eastAsia" w:eastAsia="仿宋_GB2312"/>
          <w:color w:val="auto"/>
          <w:sz w:val="32"/>
          <w:szCs w:val="32"/>
        </w:rPr>
        <w:t>完成纪检监察体制改革</w:t>
      </w:r>
      <w:r>
        <w:rPr>
          <w:rFonts w:hint="eastAsia" w:eastAsia="仿宋_GB2312"/>
          <w:color w:val="auto"/>
          <w:sz w:val="32"/>
          <w:szCs w:val="32"/>
          <w:lang w:eastAsia="zh-CN"/>
        </w:rPr>
        <w:t>。设立集团纪委、监察专员办公室，理顺直属企业纪检监察机构，配备专兼职纪检监察干部</w:t>
      </w:r>
      <w:r>
        <w:rPr>
          <w:rFonts w:hint="default" w:ascii="Times New Roman" w:hAnsi="Times New Roman" w:eastAsia="黑体" w:cs="Times New Roman"/>
          <w:color w:val="auto"/>
          <w:sz w:val="32"/>
          <w:szCs w:val="32"/>
          <w:lang w:eastAsia="zh-CN"/>
        </w:rPr>
        <w:t>27</w:t>
      </w:r>
      <w:r>
        <w:rPr>
          <w:rFonts w:hint="eastAsia" w:eastAsia="仿宋_GB2312"/>
          <w:color w:val="auto"/>
          <w:sz w:val="32"/>
          <w:szCs w:val="32"/>
          <w:lang w:eastAsia="zh-CN"/>
        </w:rPr>
        <w:t>名，</w:t>
      </w:r>
      <w:r>
        <w:rPr>
          <w:rFonts w:hint="eastAsia" w:eastAsia="仿宋_GB2312"/>
          <w:color w:val="auto"/>
          <w:sz w:val="32"/>
          <w:szCs w:val="32"/>
          <w:lang w:val="en-US" w:eastAsia="zh-CN"/>
        </w:rPr>
        <w:t>建立纪检监察工作机制，推动全面从严治党纵深发展</w:t>
      </w:r>
      <w:r>
        <w:rPr>
          <w:rFonts w:hint="eastAsia" w:eastAsia="仿宋_GB2312"/>
          <w:color w:val="auto"/>
          <w:sz w:val="32"/>
          <w:szCs w:val="32"/>
          <w:lang w:eastAsia="zh-CN"/>
        </w:rPr>
        <w:t>。</w:t>
      </w:r>
      <w:r>
        <w:rPr>
          <w:rFonts w:hint="eastAsia" w:ascii="黑体" w:hAnsi="黑体" w:eastAsia="黑体" w:cs="黑体"/>
          <w:color w:val="auto"/>
          <w:sz w:val="32"/>
          <w:szCs w:val="32"/>
          <w:lang w:val="en-US" w:eastAsia="zh-CN"/>
        </w:rPr>
        <w:t>四</w:t>
      </w:r>
      <w:r>
        <w:rPr>
          <w:rFonts w:hint="eastAsia" w:ascii="黑体" w:hAnsi="黑体" w:eastAsia="黑体" w:cs="黑体"/>
          <w:color w:val="auto"/>
          <w:sz w:val="32"/>
          <w:szCs w:val="32"/>
        </w:rPr>
        <w:t>是</w:t>
      </w:r>
      <w:r>
        <w:rPr>
          <w:rFonts w:hint="eastAsia" w:ascii="仿宋_GB2312" w:hAnsi="仿宋_GB2312" w:eastAsia="仿宋_GB2312" w:cs="仿宋_GB2312"/>
          <w:b w:val="0"/>
          <w:bCs w:val="0"/>
          <w:sz w:val="32"/>
          <w:szCs w:val="32"/>
        </w:rPr>
        <w:t>压实廉政责任。集团党委</w:t>
      </w:r>
      <w:r>
        <w:rPr>
          <w:rFonts w:hint="default" w:ascii="Times New Roman" w:hAnsi="Times New Roman" w:eastAsia="黑体" w:cs="Times New Roman"/>
          <w:b w:val="0"/>
          <w:bCs w:val="0"/>
          <w:sz w:val="32"/>
          <w:szCs w:val="32"/>
        </w:rPr>
        <w:t>7</w:t>
      </w:r>
      <w:r>
        <w:rPr>
          <w:rFonts w:hint="eastAsia" w:ascii="仿宋_GB2312" w:hAnsi="仿宋_GB2312" w:eastAsia="仿宋_GB2312" w:cs="仿宋_GB2312"/>
          <w:b w:val="0"/>
          <w:bCs w:val="0"/>
          <w:sz w:val="32"/>
          <w:szCs w:val="32"/>
        </w:rPr>
        <w:t>次专题研究党风廉政建设工作，逐级签订党风廉政建设责任书，建立权责明晰、逐级负责的党风廉政建设责任体系；通过班子成员讲廉政党课、传达典型问题通报、参观廉政教育基地等方式，警示教育广大党员干部知敬畏</w:t>
      </w:r>
      <w:r>
        <w:rPr>
          <w:rFonts w:hint="eastAsia" w:ascii="仿宋_GB2312" w:hAnsi="仿宋_GB2312" w:eastAsia="仿宋_GB2312" w:cs="仿宋_GB2312"/>
          <w:b w:val="0"/>
          <w:bCs w:val="0"/>
          <w:sz w:val="32"/>
          <w:szCs w:val="32"/>
          <w:lang w:eastAsia="zh-CN"/>
        </w:rPr>
        <w:t>、</w:t>
      </w:r>
      <w:r>
        <w:rPr>
          <w:rFonts w:hint="eastAsia" w:ascii="仿宋_GB2312" w:hAnsi="仿宋_GB2312" w:eastAsia="仿宋_GB2312" w:cs="仿宋_GB2312"/>
          <w:b w:val="0"/>
          <w:bCs w:val="0"/>
          <w:sz w:val="32"/>
          <w:szCs w:val="32"/>
        </w:rPr>
        <w:t>存戒惧</w:t>
      </w:r>
      <w:r>
        <w:rPr>
          <w:rFonts w:hint="eastAsia" w:ascii="仿宋_GB2312" w:hAnsi="仿宋_GB2312" w:eastAsia="仿宋_GB2312" w:cs="仿宋_GB2312"/>
          <w:b w:val="0"/>
          <w:bCs w:val="0"/>
          <w:sz w:val="32"/>
          <w:szCs w:val="32"/>
          <w:lang w:eastAsia="zh-CN"/>
        </w:rPr>
        <w:t>、</w:t>
      </w:r>
      <w:r>
        <w:rPr>
          <w:rFonts w:hint="eastAsia" w:ascii="仿宋_GB2312" w:hAnsi="仿宋_GB2312" w:eastAsia="仿宋_GB2312" w:cs="仿宋_GB2312"/>
          <w:b w:val="0"/>
          <w:bCs w:val="0"/>
          <w:sz w:val="32"/>
          <w:szCs w:val="32"/>
        </w:rPr>
        <w:t>守底线</w:t>
      </w:r>
      <w:r>
        <w:rPr>
          <w:rFonts w:hint="eastAsia" w:ascii="仿宋_GB2312" w:hAnsi="仿宋_GB2312" w:eastAsia="仿宋_GB2312" w:cs="仿宋_GB2312"/>
          <w:b w:val="0"/>
          <w:bCs w:val="0"/>
          <w:sz w:val="32"/>
          <w:szCs w:val="32"/>
          <w:lang w:eastAsia="zh-CN"/>
        </w:rPr>
        <w:t>；</w:t>
      </w:r>
      <w:r>
        <w:rPr>
          <w:rFonts w:hint="eastAsia" w:ascii="仿宋_GB2312" w:hAnsi="仿宋_GB2312" w:eastAsia="仿宋_GB2312" w:cs="仿宋_GB2312"/>
          <w:b w:val="0"/>
          <w:bCs w:val="0"/>
          <w:sz w:val="32"/>
          <w:szCs w:val="32"/>
        </w:rPr>
        <w:t>紧盯“关键少数”和重点领域，开展</w:t>
      </w:r>
      <w:r>
        <w:rPr>
          <w:rFonts w:hint="default" w:ascii="Times New Roman" w:hAnsi="Times New Roman" w:eastAsia="黑体" w:cs="Times New Roman"/>
          <w:b w:val="0"/>
          <w:bCs w:val="0"/>
          <w:sz w:val="32"/>
          <w:szCs w:val="32"/>
        </w:rPr>
        <w:t>102</w:t>
      </w:r>
      <w:r>
        <w:rPr>
          <w:rFonts w:hint="eastAsia" w:ascii="仿宋_GB2312" w:hAnsi="仿宋_GB2312" w:eastAsia="仿宋_GB2312" w:cs="仿宋_GB2312"/>
          <w:b w:val="0"/>
          <w:bCs w:val="0"/>
          <w:sz w:val="32"/>
          <w:szCs w:val="32"/>
        </w:rPr>
        <w:t>人次廉政谈话。</w:t>
      </w:r>
    </w:p>
    <w:p>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sz w:val="32"/>
          <w:szCs w:val="32"/>
          <w:lang w:val="en-US" w:eastAsia="zh-CN"/>
        </w:rPr>
        <w:t>（二）团结一心共同抗疫。</w:t>
      </w:r>
      <w:r>
        <w:rPr>
          <w:rFonts w:hint="eastAsia" w:ascii="仿宋_GB2312" w:hAnsi="仿宋_GB2312" w:eastAsia="仿宋_GB2312" w:cs="仿宋_GB2312"/>
          <w:b w:val="0"/>
          <w:bCs w:val="0"/>
          <w:sz w:val="32"/>
          <w:szCs w:val="32"/>
          <w:lang w:val="en-US" w:eastAsia="zh-CN"/>
        </w:rPr>
        <w:t>面对来势汹汹的疫情，集团党委迅速反应，履行社会责任，彰显国企担当，累计派出</w:t>
      </w:r>
      <w:r>
        <w:rPr>
          <w:rFonts w:hint="default" w:ascii="Times New Roman" w:hAnsi="Times New Roman" w:eastAsia="黑体" w:cs="Times New Roman"/>
          <w:b w:val="0"/>
          <w:bCs w:val="0"/>
          <w:sz w:val="32"/>
          <w:szCs w:val="32"/>
          <w:lang w:val="en-US" w:eastAsia="zh-CN"/>
        </w:rPr>
        <w:t>673</w:t>
      </w:r>
      <w:r>
        <w:rPr>
          <w:rFonts w:hint="eastAsia" w:ascii="仿宋_GB2312" w:hAnsi="仿宋_GB2312" w:eastAsia="仿宋_GB2312" w:cs="仿宋_GB2312"/>
          <w:b w:val="0"/>
          <w:bCs w:val="0"/>
          <w:sz w:val="32"/>
          <w:szCs w:val="32"/>
          <w:lang w:val="en-US" w:eastAsia="zh-CN"/>
        </w:rPr>
        <w:t>名党员干部志愿参加联防联控、交通执勤工作。</w:t>
      </w:r>
      <w:r>
        <w:rPr>
          <w:rFonts w:hint="default" w:ascii="Times New Roman" w:hAnsi="Times New Roman" w:eastAsia="黑体" w:cs="Times New Roman"/>
          <w:b w:val="0"/>
          <w:bCs w:val="0"/>
          <w:sz w:val="32"/>
          <w:szCs w:val="32"/>
          <w:lang w:val="en-US" w:eastAsia="zh-CN"/>
        </w:rPr>
        <w:t>200</w:t>
      </w:r>
      <w:r>
        <w:rPr>
          <w:rFonts w:hint="eastAsia" w:ascii="仿宋_GB2312" w:hAnsi="仿宋_GB2312" w:eastAsia="仿宋_GB2312" w:cs="仿宋_GB2312"/>
          <w:b w:val="0"/>
          <w:bCs w:val="0"/>
          <w:sz w:val="32"/>
          <w:szCs w:val="32"/>
          <w:lang w:val="en-US" w:eastAsia="zh-CN"/>
        </w:rPr>
        <w:t>多名党员干部无偿献血</w:t>
      </w:r>
      <w:r>
        <w:rPr>
          <w:rFonts w:hint="default" w:ascii="Times New Roman" w:hAnsi="Times New Roman" w:eastAsia="黑体" w:cs="Times New Roman"/>
          <w:b w:val="0"/>
          <w:bCs w:val="0"/>
          <w:sz w:val="32"/>
          <w:szCs w:val="32"/>
          <w:lang w:val="en-US" w:eastAsia="zh-CN"/>
        </w:rPr>
        <w:t>38900</w:t>
      </w:r>
      <w:r>
        <w:rPr>
          <w:rFonts w:hint="eastAsia" w:ascii="仿宋_GB2312" w:hAnsi="仿宋_GB2312" w:eastAsia="仿宋_GB2312" w:cs="仿宋_GB2312"/>
          <w:b w:val="0"/>
          <w:bCs w:val="0"/>
          <w:sz w:val="32"/>
          <w:szCs w:val="32"/>
          <w:lang w:val="en-US" w:eastAsia="zh-CN"/>
        </w:rPr>
        <w:t>毫升、</w:t>
      </w:r>
      <w:r>
        <w:rPr>
          <w:rFonts w:hint="default" w:ascii="Times New Roman" w:hAnsi="Times New Roman" w:eastAsia="黑体" w:cs="Times New Roman"/>
          <w:b w:val="0"/>
          <w:bCs w:val="0"/>
          <w:sz w:val="32"/>
          <w:szCs w:val="32"/>
          <w:lang w:val="en-US" w:eastAsia="zh-CN"/>
        </w:rPr>
        <w:t>1100</w:t>
      </w:r>
      <w:r>
        <w:rPr>
          <w:rFonts w:hint="eastAsia" w:ascii="仿宋_GB2312" w:hAnsi="仿宋_GB2312" w:eastAsia="仿宋_GB2312" w:cs="仿宋_GB2312"/>
          <w:b w:val="0"/>
          <w:bCs w:val="0"/>
          <w:sz w:val="32"/>
          <w:szCs w:val="32"/>
          <w:lang w:val="en-US" w:eastAsia="zh-CN"/>
        </w:rPr>
        <w:t xml:space="preserve">多名职工捐款 </w:t>
      </w:r>
      <w:r>
        <w:rPr>
          <w:rFonts w:hint="default" w:ascii="Times New Roman" w:hAnsi="Times New Roman" w:eastAsia="黑体" w:cs="Times New Roman"/>
          <w:b w:val="0"/>
          <w:bCs w:val="0"/>
          <w:sz w:val="32"/>
          <w:szCs w:val="32"/>
          <w:lang w:val="en-US" w:eastAsia="zh-CN"/>
        </w:rPr>
        <w:t>13</w:t>
      </w:r>
      <w:r>
        <w:rPr>
          <w:rFonts w:hint="eastAsia" w:ascii="仿宋_GB2312" w:hAnsi="仿宋_GB2312" w:eastAsia="仿宋_GB2312" w:cs="仿宋_GB2312"/>
          <w:b w:val="0"/>
          <w:bCs w:val="0"/>
          <w:sz w:val="32"/>
          <w:szCs w:val="32"/>
          <w:lang w:val="en-US" w:eastAsia="zh-CN"/>
        </w:rPr>
        <w:t>.</w:t>
      </w:r>
      <w:r>
        <w:rPr>
          <w:rFonts w:hint="default" w:ascii="Times New Roman" w:hAnsi="Times New Roman" w:eastAsia="黑体" w:cs="Times New Roman"/>
          <w:b w:val="0"/>
          <w:bCs w:val="0"/>
          <w:sz w:val="32"/>
          <w:szCs w:val="32"/>
          <w:lang w:val="en-US" w:eastAsia="zh-CN"/>
        </w:rPr>
        <w:t>48</w:t>
      </w:r>
      <w:r>
        <w:rPr>
          <w:rFonts w:hint="eastAsia" w:ascii="仿宋_GB2312" w:hAnsi="仿宋_GB2312" w:eastAsia="仿宋_GB2312" w:cs="仿宋_GB2312"/>
          <w:b w:val="0"/>
          <w:bCs w:val="0"/>
          <w:sz w:val="32"/>
          <w:szCs w:val="32"/>
          <w:lang w:val="en-US" w:eastAsia="zh-CN"/>
        </w:rPr>
        <w:t>万元。德州军供产业主动请缨立下驰援武汉“军令状”，两个月内向武汉疫区发送救援食品物资</w:t>
      </w:r>
      <w:r>
        <w:rPr>
          <w:rFonts w:hint="default" w:ascii="Times New Roman" w:hAnsi="Times New Roman" w:eastAsia="黑体" w:cs="Times New Roman"/>
          <w:b w:val="0"/>
          <w:bCs w:val="0"/>
          <w:sz w:val="32"/>
          <w:szCs w:val="32"/>
          <w:lang w:val="en-US" w:eastAsia="zh-CN"/>
        </w:rPr>
        <w:t>1000</w:t>
      </w:r>
      <w:r>
        <w:rPr>
          <w:rFonts w:hint="eastAsia" w:ascii="仿宋_GB2312" w:hAnsi="仿宋_GB2312" w:eastAsia="仿宋_GB2312" w:cs="仿宋_GB2312"/>
          <w:b w:val="0"/>
          <w:bCs w:val="0"/>
          <w:sz w:val="32"/>
          <w:szCs w:val="32"/>
          <w:lang w:val="en-US" w:eastAsia="zh-CN"/>
        </w:rPr>
        <w:t>多吨。</w:t>
      </w:r>
      <w:r>
        <w:rPr>
          <w:rFonts w:hint="eastAsia" w:ascii="仿宋_GB2312" w:hAnsi="仿宋_GB2312" w:eastAsia="仿宋_GB2312" w:cs="仿宋_GB2312"/>
          <w:sz w:val="32"/>
          <w:szCs w:val="32"/>
          <w:lang w:val="en-US" w:eastAsia="zh-CN"/>
        </w:rPr>
        <w:t>金鼎物业公司成立疫情防控工作领导小组，多措并举展开防疫工作，保障居民生命健康安全。</w:t>
      </w:r>
      <w:r>
        <w:rPr>
          <w:rFonts w:hint="eastAsia" w:ascii="仿宋_GB2312" w:hAnsi="仿宋_GB2312" w:eastAsia="仿宋_GB2312" w:cs="仿宋_GB2312"/>
          <w:b w:val="0"/>
          <w:bCs w:val="0"/>
          <w:sz w:val="32"/>
          <w:szCs w:val="32"/>
          <w:lang w:val="en-US" w:eastAsia="zh-CN"/>
        </w:rPr>
        <w:t>严格落实房租减免政策，</w:t>
      </w:r>
      <w:r>
        <w:rPr>
          <w:rFonts w:hint="eastAsia" w:ascii="仿宋_GB2312" w:hAnsi="仿宋_GB2312" w:eastAsia="仿宋_GB2312" w:cs="仿宋_GB2312"/>
          <w:sz w:val="32"/>
          <w:szCs w:val="32"/>
          <w:lang w:val="en-US" w:eastAsia="zh-CN"/>
        </w:rPr>
        <w:t>为</w:t>
      </w:r>
      <w:r>
        <w:rPr>
          <w:rFonts w:hint="default" w:ascii="Times New Roman" w:hAnsi="Times New Roman" w:eastAsia="黑体" w:cs="Times New Roman"/>
          <w:sz w:val="32"/>
          <w:szCs w:val="32"/>
          <w:lang w:val="en-US" w:eastAsia="zh-CN"/>
        </w:rPr>
        <w:t>382</w:t>
      </w:r>
      <w:r>
        <w:rPr>
          <w:rFonts w:hint="eastAsia" w:ascii="仿宋_GB2312" w:hAnsi="仿宋_GB2312" w:eastAsia="仿宋_GB2312" w:cs="仿宋_GB2312"/>
          <w:sz w:val="32"/>
          <w:szCs w:val="32"/>
          <w:lang w:val="en-US" w:eastAsia="zh-CN"/>
        </w:rPr>
        <w:t>家中小企业和个体工商户减免租金</w:t>
      </w:r>
      <w:r>
        <w:rPr>
          <w:rFonts w:hint="default" w:ascii="Times New Roman" w:hAnsi="Times New Roman" w:eastAsia="黑体" w:cs="Times New Roman"/>
          <w:sz w:val="32"/>
          <w:szCs w:val="32"/>
          <w:lang w:val="en-US" w:eastAsia="zh-CN"/>
        </w:rPr>
        <w:t>942</w:t>
      </w:r>
      <w:r>
        <w:rPr>
          <w:rFonts w:hint="eastAsia" w:ascii="仿宋_GB2312" w:hAnsi="仿宋_GB2312" w:eastAsia="仿宋_GB2312" w:cs="仿宋_GB2312"/>
          <w:sz w:val="32"/>
          <w:szCs w:val="32"/>
          <w:lang w:val="en-US" w:eastAsia="zh-CN"/>
        </w:rPr>
        <w:t>万元</w:t>
      </w:r>
      <w:r>
        <w:rPr>
          <w:rFonts w:hint="eastAsia" w:ascii="仿宋_GB2312" w:hAnsi="仿宋_GB2312" w:eastAsia="仿宋_GB2312" w:cs="仿宋_GB2312"/>
          <w:b w:val="0"/>
          <w:bCs w:val="0"/>
          <w:sz w:val="32"/>
          <w:szCs w:val="32"/>
          <w:lang w:val="en-US" w:eastAsia="zh-CN"/>
        </w:rPr>
        <w:t>。集团上下荣获</w:t>
      </w:r>
      <w:r>
        <w:rPr>
          <w:rFonts w:hint="default" w:ascii="Times New Roman" w:hAnsi="Times New Roman" w:eastAsia="黑体" w:cs="Times New Roman"/>
          <w:b w:val="0"/>
          <w:bCs w:val="0"/>
          <w:sz w:val="32"/>
          <w:szCs w:val="32"/>
          <w:lang w:val="en-US" w:eastAsia="zh-CN"/>
        </w:rPr>
        <w:t>9</w:t>
      </w:r>
      <w:r>
        <w:rPr>
          <w:rFonts w:hint="eastAsia" w:ascii="仿宋_GB2312" w:hAnsi="仿宋_GB2312" w:eastAsia="仿宋_GB2312" w:cs="仿宋_GB2312"/>
          <w:b w:val="0"/>
          <w:bCs w:val="0"/>
          <w:sz w:val="32"/>
          <w:szCs w:val="32"/>
          <w:lang w:val="en-US" w:eastAsia="zh-CN"/>
        </w:rPr>
        <w:t>项“市国资国企疫情防控党员先锋岗”荣誉称号。</w:t>
      </w:r>
    </w:p>
    <w:p>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sz w:val="32"/>
          <w:szCs w:val="32"/>
          <w:lang w:val="en-US" w:eastAsia="zh-CN"/>
        </w:rPr>
        <w:t>（三）深入社区开展服务。</w:t>
      </w:r>
      <w:r>
        <w:rPr>
          <w:rFonts w:hint="eastAsia" w:ascii="仿宋_GB2312" w:hAnsi="仿宋_GB2312" w:eastAsia="仿宋_GB2312" w:cs="仿宋_GB2312"/>
          <w:sz w:val="32"/>
          <w:szCs w:val="32"/>
          <w:lang w:val="en-US" w:eastAsia="zh-CN"/>
        </w:rPr>
        <w:t>扎实开展“双报到”，疫情防控关键阶段，多次前往邹李社区开展志愿服务执勤，送去</w:t>
      </w:r>
      <w:r>
        <w:rPr>
          <w:rFonts w:hint="default" w:ascii="Times New Roman" w:hAnsi="Times New Roman" w:eastAsia="黑体" w:cs="Times New Roman"/>
          <w:sz w:val="32"/>
          <w:szCs w:val="32"/>
          <w:lang w:val="en-US" w:eastAsia="zh-CN"/>
        </w:rPr>
        <w:t>1000</w:t>
      </w:r>
      <w:r>
        <w:rPr>
          <w:rFonts w:hint="eastAsia" w:ascii="仿宋_GB2312" w:hAnsi="仿宋_GB2312" w:eastAsia="仿宋_GB2312" w:cs="仿宋_GB2312"/>
          <w:sz w:val="32"/>
          <w:szCs w:val="32"/>
          <w:lang w:val="en-US" w:eastAsia="zh-CN"/>
        </w:rPr>
        <w:t>副口罩、</w:t>
      </w:r>
      <w:r>
        <w:rPr>
          <w:rFonts w:hint="default" w:ascii="Times New Roman" w:hAnsi="Times New Roman" w:eastAsia="黑体" w:cs="Times New Roman"/>
          <w:sz w:val="32"/>
          <w:szCs w:val="32"/>
          <w:lang w:val="en-US" w:eastAsia="zh-CN"/>
        </w:rPr>
        <w:t>5</w:t>
      </w:r>
      <w:r>
        <w:rPr>
          <w:rFonts w:hint="eastAsia" w:ascii="仿宋_GB2312" w:hAnsi="仿宋_GB2312" w:eastAsia="仿宋_GB2312" w:cs="仿宋_GB2312"/>
          <w:sz w:val="32"/>
          <w:szCs w:val="32"/>
          <w:lang w:val="en-US" w:eastAsia="zh-CN"/>
        </w:rPr>
        <w:t>箱酒精、</w:t>
      </w:r>
      <w:r>
        <w:rPr>
          <w:rFonts w:hint="default" w:ascii="Times New Roman" w:hAnsi="Times New Roman" w:eastAsia="黑体" w:cs="Times New Roman"/>
          <w:sz w:val="32"/>
          <w:szCs w:val="32"/>
          <w:lang w:val="en-US" w:eastAsia="zh-CN"/>
        </w:rPr>
        <w:t>84</w:t>
      </w:r>
      <w:r>
        <w:rPr>
          <w:rFonts w:hint="eastAsia" w:ascii="仿宋_GB2312" w:hAnsi="仿宋_GB2312" w:eastAsia="仿宋_GB2312" w:cs="仿宋_GB2312"/>
          <w:sz w:val="32"/>
          <w:szCs w:val="32"/>
          <w:lang w:val="en-US" w:eastAsia="zh-CN"/>
        </w:rPr>
        <w:t>消毒液等防疫和生活物资。深入社区、深入乡村为居民排忧解难，解决群众所需，化解社会矛盾，激发群众热情，</w:t>
      </w:r>
      <w:r>
        <w:rPr>
          <w:rFonts w:hint="eastAsia" w:ascii="Times New Roman" w:hAnsi="Times New Roman" w:eastAsia="仿宋_GB2312" w:cs="Times New Roman"/>
          <w:sz w:val="32"/>
          <w:szCs w:val="32"/>
          <w:lang w:val="en-US" w:eastAsia="zh-CN"/>
        </w:rPr>
        <w:t>通过</w:t>
      </w:r>
      <w:r>
        <w:rPr>
          <w:rFonts w:hint="eastAsia" w:ascii="仿宋_GB2312" w:hAnsi="仿宋_GB2312" w:eastAsia="仿宋_GB2312" w:cs="仿宋_GB2312"/>
          <w:sz w:val="32"/>
          <w:szCs w:val="32"/>
          <w:lang w:val="en-US" w:eastAsia="zh-CN"/>
        </w:rPr>
        <w:t>与社区充分沟通，持续优化资源、需求、项目“三张清单”，增设文化建设项目，使集团与社区党建工作之间实现共建、共享、共赢。</w:t>
      </w:r>
    </w:p>
    <w:p>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sz w:val="32"/>
          <w:szCs w:val="32"/>
          <w:lang w:val="en-US" w:eastAsia="zh-CN"/>
        </w:rPr>
      </w:pPr>
      <w:r>
        <w:rPr>
          <w:rFonts w:hint="eastAsia" w:ascii="楷体_GB2312" w:hAnsi="楷体_GB2312" w:eastAsia="楷体_GB2312" w:cs="楷体_GB2312"/>
          <w:sz w:val="32"/>
          <w:szCs w:val="32"/>
          <w:lang w:val="en-US" w:eastAsia="zh-CN"/>
        </w:rPr>
        <w:t>（四）实干助力脱贫攻坚。</w:t>
      </w:r>
      <w:r>
        <w:rPr>
          <w:rFonts w:hint="eastAsia" w:ascii="仿宋_GB2312" w:hAnsi="仿宋_GB2312" w:eastAsia="仿宋_GB2312" w:cs="仿宋_GB2312"/>
          <w:b w:val="0"/>
          <w:bCs w:val="0"/>
          <w:sz w:val="32"/>
          <w:szCs w:val="32"/>
          <w:lang w:val="en-US" w:eastAsia="zh-CN"/>
        </w:rPr>
        <w:t>深耕县域</w:t>
      </w:r>
      <w:r>
        <w:rPr>
          <w:rFonts w:hint="eastAsia" w:ascii="仿宋_GB2312" w:hAnsi="仿宋_GB2312" w:eastAsia="仿宋_GB2312" w:cs="仿宋_GB2312"/>
          <w:sz w:val="32"/>
          <w:szCs w:val="32"/>
          <w:lang w:val="en-US" w:eastAsia="zh-CN"/>
        </w:rPr>
        <w:t>经济，发展园区特色产业，因地制宜发展智慧农业、冷链物流、家具制造产业，示范带动贫困地区产业结构调整、形成特色主导产业带动贫困人员脱贫致富。深入贯彻落实党中央、国务院脱贫攻坚工作部署和国资委扶贫工作要求，推进扶贫工作落到实处，体现国企责任担当，与重庆市秀山县隘口镇百岁村签订扶贫协议，助力基础设施建设，把扶贫协作村企项目对接好、实施好、发展好。</w:t>
      </w:r>
    </w:p>
    <w:p>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sz w:val="32"/>
          <w:szCs w:val="32"/>
          <w:lang w:val="en-US" w:eastAsia="zh-CN"/>
        </w:rPr>
      </w:pPr>
      <w:r>
        <w:rPr>
          <w:rFonts w:hint="eastAsia" w:ascii="楷体_GB2312" w:hAnsi="楷体_GB2312" w:eastAsia="楷体_GB2312" w:cs="楷体_GB2312"/>
          <w:sz w:val="32"/>
          <w:szCs w:val="32"/>
          <w:lang w:val="en-US" w:eastAsia="zh-CN"/>
        </w:rPr>
        <w:t>（五）妥善安置退休人员。</w:t>
      </w:r>
      <w:r>
        <w:rPr>
          <w:rFonts w:hint="eastAsia" w:ascii="仿宋_GB2312" w:hAnsi="仿宋_GB2312" w:eastAsia="仿宋_GB2312" w:cs="仿宋_GB2312"/>
          <w:sz w:val="32"/>
          <w:szCs w:val="32"/>
          <w:lang w:val="en-US" w:eastAsia="zh-CN"/>
        </w:rPr>
        <w:t>退休人员社会化管理工作是党中央、国务院全面深化国企改革，加快剥离企业办社会职能和解决历史遗留问题的重大举措。时间要求紧、工作任务重，集团迅速制定工作方案，成立工作专班，深入动员部署，系统推动实施，压实工作责任，分管领导每日调度，相关部室紧密配合，高质量的完成集团</w:t>
      </w:r>
      <w:r>
        <w:rPr>
          <w:rFonts w:hint="default" w:ascii="Times New Roman" w:hAnsi="Times New Roman" w:eastAsia="黑体" w:cs="Times New Roman"/>
          <w:sz w:val="32"/>
          <w:szCs w:val="32"/>
          <w:lang w:val="en-US" w:eastAsia="zh-CN"/>
        </w:rPr>
        <w:t>1</w:t>
      </w:r>
      <w:r>
        <w:rPr>
          <w:rFonts w:hint="eastAsia" w:ascii="Times New Roman" w:hAnsi="Times New Roman" w:eastAsia="黑体" w:cs="Times New Roman"/>
          <w:sz w:val="32"/>
          <w:szCs w:val="32"/>
          <w:lang w:val="en-US" w:eastAsia="zh-CN"/>
        </w:rPr>
        <w:t>100</w:t>
      </w:r>
      <w:r>
        <w:rPr>
          <w:rFonts w:hint="eastAsia" w:ascii="仿宋_GB2312" w:hAnsi="仿宋_GB2312" w:eastAsia="仿宋_GB2312" w:cs="仿宋_GB2312"/>
          <w:sz w:val="32"/>
          <w:szCs w:val="32"/>
          <w:lang w:val="en-US" w:eastAsia="zh-CN"/>
        </w:rPr>
        <w:t>余名退休人员的社会化移交工作，得到了市国资委的高度认可，此项工作被市国资委列为德州市国企“倒计时”改革工作的典型。</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default" w:ascii="黑体" w:hAnsi="黑体" w:eastAsia="黑体" w:cs="黑体"/>
          <w:color w:val="000000" w:themeColor="text1"/>
          <w:kern w:val="0"/>
          <w:sz w:val="32"/>
          <w:szCs w:val="32"/>
          <w:lang w:val="en-US" w:eastAsia="zh-CN" w:bidi="ar"/>
          <w14:textFill>
            <w14:solidFill>
              <w14:schemeClr w14:val="tx1"/>
            </w14:solidFill>
          </w14:textFill>
        </w:rPr>
      </w:pPr>
      <w:r>
        <w:rPr>
          <w:rFonts w:hint="eastAsia" w:ascii="黑体" w:hAnsi="黑体" w:eastAsia="黑体" w:cs="黑体"/>
          <w:color w:val="000000" w:themeColor="text1"/>
          <w:kern w:val="0"/>
          <w:sz w:val="32"/>
          <w:szCs w:val="32"/>
          <w:lang w:val="en-US" w:eastAsia="zh-CN" w:bidi="ar"/>
          <w14:textFill>
            <w14:solidFill>
              <w14:schemeClr w14:val="tx1"/>
            </w14:solidFill>
          </w14:textFill>
        </w:rPr>
        <w:t>四、战略提升，做大做实主营板块</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（一）基础建设板块。</w:t>
      </w:r>
      <w:r>
        <w:rPr>
          <w:rFonts w:hint="eastAsia" w:ascii="黑体" w:hAnsi="黑体" w:eastAsia="黑体" w:cs="黑体"/>
          <w:color w:val="000000" w:themeColor="text1"/>
          <w:kern w:val="0"/>
          <w:sz w:val="32"/>
          <w:szCs w:val="32"/>
          <w:lang w:val="en-US" w:eastAsia="zh-CN" w:bidi="ar"/>
          <w14:textFill>
            <w14:solidFill>
              <w14:schemeClr w14:val="tx1"/>
            </w14:solidFill>
          </w14:textFill>
        </w:rPr>
        <w:t>一是</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坚持讲政治，抓协调、抓调度、抓质量、抓安全。承担</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14</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个市级重点项目，涉及医院、学校、雨污分流、尾水深度净化、中水回用、月湖公园项目，</w:t>
      </w:r>
      <w:r>
        <w:rPr>
          <w:rFonts w:hint="eastAsia" w:hAnsi="仿宋_GB2312" w:eastAsia="仿宋_GB2312"/>
          <w:sz w:val="32"/>
          <w:szCs w:val="32"/>
          <w:lang w:val="en-US" w:eastAsia="zh-CN"/>
        </w:rPr>
        <w:t>年度投资</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25</w:t>
      </w:r>
      <w:r>
        <w:rPr>
          <w:rFonts w:hint="eastAsia" w:ascii="Times New Roman" w:hAnsi="Times New Roman" w:eastAsia="仿宋_GB2312" w:cs="Times New Roman"/>
          <w:color w:val="000000" w:themeColor="text1"/>
          <w:kern w:val="0"/>
          <w:sz w:val="32"/>
          <w:szCs w:val="32"/>
          <w:lang w:val="en-US" w:eastAsia="zh-CN" w:bidi="ar"/>
          <w14:textFill>
            <w14:solidFill>
              <w14:schemeClr w14:val="tx1"/>
            </w14:solidFill>
          </w14:textFill>
        </w:rPr>
        <w:t>.</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79</w:t>
      </w:r>
      <w:r>
        <w:rPr>
          <w:rFonts w:hint="eastAsia" w:hAnsi="仿宋_GB2312" w:eastAsia="仿宋_GB2312"/>
          <w:sz w:val="32"/>
          <w:szCs w:val="32"/>
          <w:lang w:val="en-US" w:eastAsia="zh-CN"/>
        </w:rPr>
        <w:t>亿元，</w:t>
      </w:r>
      <w:r>
        <w:rPr>
          <w:rFonts w:hAnsi="仿宋_GB2312" w:eastAsia="仿宋_GB2312"/>
          <w:sz w:val="32"/>
          <w:szCs w:val="32"/>
        </w:rPr>
        <w:t>未出现质量安全事故，未因资金问题影响工程进度</w:t>
      </w:r>
      <w:r>
        <w:rPr>
          <w:rFonts w:eastAsia="仿宋_GB2312"/>
          <w:color w:val="auto"/>
          <w:sz w:val="32"/>
          <w:szCs w:val="32"/>
        </w:rPr>
        <w:t>。</w:t>
      </w:r>
      <w:r>
        <w:rPr>
          <w:rFonts w:hint="eastAsia" w:ascii="黑体" w:hAnsi="黑体" w:eastAsia="黑体" w:cs="黑体"/>
          <w:color w:val="000000" w:themeColor="text1"/>
          <w:kern w:val="0"/>
          <w:sz w:val="32"/>
          <w:szCs w:val="32"/>
          <w:lang w:val="en-US" w:eastAsia="zh-CN" w:bidi="ar"/>
          <w14:textFill>
            <w14:solidFill>
              <w14:schemeClr w14:val="tx1"/>
            </w14:solidFill>
          </w14:textFill>
        </w:rPr>
        <w:t>二是</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依托“财金城建”“国鑫发展”打造“土地+片区+园区”一项目三开发模式，将单一项目建设转变为多业态融合发展的模式，以增值服务为项目赋能，确保整体效益和长期运营效果，未来助力新旧动能示范区，打造东部城区新高地。</w:t>
      </w:r>
      <w:r>
        <w:rPr>
          <w:rFonts w:hint="eastAsia" w:ascii="黑体" w:hAnsi="黑体" w:eastAsia="黑体" w:cs="黑体"/>
          <w:color w:val="000000" w:themeColor="text1"/>
          <w:kern w:val="0"/>
          <w:sz w:val="32"/>
          <w:szCs w:val="32"/>
          <w:lang w:val="en-US" w:eastAsia="zh-CN" w:bidi="ar"/>
          <w14:textFill>
            <w14:solidFill>
              <w14:schemeClr w14:val="tx1"/>
            </w14:solidFill>
          </w14:textFill>
        </w:rPr>
        <w:t>三是</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积极拓展新基建板块，与中国电子、乾云科技深入合作，以云计算、大数据推动德州市智慧城市建设，探索城市运营发展一体化新模式,推动治理体系和治理能力现代化。</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leftChars="0" w:firstLine="640" w:firstLineChars="200"/>
        <w:jc w:val="both"/>
        <w:textAlignment w:val="auto"/>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（二）金融投资板块。</w:t>
      </w:r>
      <w:r>
        <w:rPr>
          <w:rFonts w:hint="eastAsia" w:ascii="黑体" w:hAnsi="黑体" w:eastAsia="黑体" w:cs="黑体"/>
          <w:color w:val="auto"/>
          <w:sz w:val="32"/>
          <w:szCs w:val="40"/>
          <w:highlight w:val="none"/>
          <w:lang w:val="en-US" w:eastAsia="zh-CN"/>
        </w:rPr>
        <w:t>一是</w:t>
      </w:r>
      <w:r>
        <w:rPr>
          <w:rFonts w:ascii="仿宋_GB2312" w:hAnsi="仿宋_GB2312" w:eastAsia="仿宋_GB2312" w:cs="仿宋_GB2312"/>
          <w:color w:val="auto"/>
          <w:sz w:val="32"/>
          <w:szCs w:val="40"/>
          <w:highlight w:val="none"/>
        </w:rPr>
        <w:t>金融</w:t>
      </w:r>
      <w:r>
        <w:rPr>
          <w:rFonts w:hint="eastAsia" w:ascii="仿宋_GB2312" w:hAnsi="仿宋_GB2312" w:eastAsia="仿宋_GB2312" w:cs="仿宋_GB2312"/>
          <w:color w:val="auto"/>
          <w:sz w:val="32"/>
          <w:szCs w:val="40"/>
          <w:highlight w:val="none"/>
        </w:rPr>
        <w:t>组合拳、</w:t>
      </w:r>
      <w:r>
        <w:rPr>
          <w:rFonts w:hint="eastAsia" w:ascii="仿宋_GB2312" w:hAnsi="仿宋_GB2312" w:eastAsia="仿宋_GB2312" w:cs="仿宋_GB2312"/>
          <w:color w:val="auto"/>
          <w:sz w:val="32"/>
          <w:szCs w:val="40"/>
          <w:highlight w:val="none"/>
          <w:lang w:val="en-US" w:eastAsia="zh-CN"/>
        </w:rPr>
        <w:t>服务</w:t>
      </w:r>
      <w:r>
        <w:rPr>
          <w:rFonts w:hint="eastAsia" w:ascii="仿宋_GB2312" w:hAnsi="仿宋_GB2312" w:eastAsia="仿宋_GB2312" w:cs="仿宋_GB2312"/>
          <w:color w:val="auto"/>
          <w:sz w:val="32"/>
          <w:szCs w:val="40"/>
          <w:highlight w:val="none"/>
        </w:rPr>
        <w:t>运营商逐步完善</w:t>
      </w:r>
      <w:r>
        <w:rPr>
          <w:rFonts w:ascii="仿宋_GB2312" w:hAnsi="仿宋_GB2312" w:eastAsia="仿宋_GB2312" w:cs="仿宋_GB2312"/>
          <w:color w:val="auto"/>
          <w:sz w:val="32"/>
          <w:szCs w:val="40"/>
          <w:highlight w:val="none"/>
        </w:rPr>
        <w:t>。</w:t>
      </w:r>
      <w:r>
        <w:rPr>
          <w:rFonts w:hint="eastAsia" w:ascii="仿宋_GB2312" w:hAnsi="仿宋_GB2312" w:eastAsia="仿宋_GB2312" w:cs="仿宋_GB2312"/>
          <w:color w:val="auto"/>
          <w:sz w:val="32"/>
          <w:szCs w:val="40"/>
          <w:highlight w:val="none"/>
        </w:rPr>
        <w:t>坚持品牌发展，打造“国鑫金服”品牌。</w:t>
      </w:r>
      <w:r>
        <w:rPr>
          <w:rFonts w:hint="default" w:ascii="Times New Roman" w:hAnsi="Times New Roman" w:eastAsia="黑体" w:cs="Times New Roman"/>
          <w:color w:val="auto"/>
          <w:sz w:val="32"/>
          <w:szCs w:val="40"/>
          <w:highlight w:val="none"/>
        </w:rPr>
        <w:t>2017</w:t>
      </w:r>
      <w:r>
        <w:rPr>
          <w:rFonts w:ascii="仿宋_GB2312" w:hAnsi="仿宋_GB2312" w:eastAsia="仿宋_GB2312" w:cs="仿宋_GB2312"/>
          <w:color w:val="auto"/>
          <w:sz w:val="32"/>
          <w:szCs w:val="40"/>
          <w:highlight w:val="none"/>
        </w:rPr>
        <w:t>年上半年注册的鲁晟商业保理、鲁信融资租赁公司，</w:t>
      </w:r>
      <w:r>
        <w:rPr>
          <w:rFonts w:hint="default" w:ascii="Times New Roman" w:hAnsi="Times New Roman" w:eastAsia="黑体" w:cs="Times New Roman"/>
          <w:color w:val="auto"/>
          <w:sz w:val="32"/>
          <w:szCs w:val="40"/>
          <w:highlight w:val="none"/>
        </w:rPr>
        <w:t>2019</w:t>
      </w:r>
      <w:r>
        <w:rPr>
          <w:rFonts w:ascii="仿宋_GB2312" w:hAnsi="仿宋_GB2312" w:eastAsia="仿宋_GB2312" w:cs="仿宋_GB2312"/>
          <w:color w:val="auto"/>
          <w:sz w:val="32"/>
          <w:szCs w:val="40"/>
          <w:highlight w:val="none"/>
        </w:rPr>
        <w:t>年注册了供应链公司，</w:t>
      </w:r>
      <w:r>
        <w:rPr>
          <w:rFonts w:hint="eastAsia" w:ascii="仿宋_GB2312" w:hAnsi="仿宋_GB2312" w:eastAsia="仿宋_GB2312" w:cs="仿宋_GB2312"/>
          <w:color w:val="auto"/>
          <w:sz w:val="32"/>
          <w:szCs w:val="40"/>
          <w:highlight w:val="none"/>
          <w:lang w:val="en-US" w:eastAsia="zh-CN"/>
        </w:rPr>
        <w:t>累计</w:t>
      </w:r>
      <w:r>
        <w:rPr>
          <w:rFonts w:hint="eastAsia" w:ascii="仿宋_GB2312" w:hAnsi="仿宋_GB2312" w:eastAsia="仿宋_GB2312" w:cs="仿宋_GB2312"/>
          <w:color w:val="auto"/>
          <w:sz w:val="32"/>
          <w:szCs w:val="40"/>
          <w:highlight w:val="none"/>
        </w:rPr>
        <w:t>业务</w:t>
      </w:r>
      <w:r>
        <w:rPr>
          <w:rFonts w:hint="eastAsia" w:ascii="仿宋_GB2312" w:hAnsi="仿宋_GB2312" w:eastAsia="仿宋_GB2312" w:cs="仿宋_GB2312"/>
          <w:color w:val="auto"/>
          <w:sz w:val="32"/>
          <w:szCs w:val="40"/>
          <w:highlight w:val="none"/>
          <w:lang w:val="en-US" w:eastAsia="zh-CN"/>
        </w:rPr>
        <w:t>量突破</w:t>
      </w:r>
      <w:r>
        <w:rPr>
          <w:rFonts w:hint="default" w:ascii="Times New Roman" w:hAnsi="Times New Roman" w:eastAsia="黑体" w:cs="Times New Roman"/>
          <w:color w:val="auto"/>
          <w:sz w:val="32"/>
          <w:szCs w:val="40"/>
          <w:highlight w:val="none"/>
          <w:lang w:val="en-US" w:eastAsia="zh-CN"/>
        </w:rPr>
        <w:t>30</w:t>
      </w:r>
      <w:r>
        <w:rPr>
          <w:rFonts w:ascii="仿宋_GB2312" w:hAnsi="仿宋_GB2312" w:eastAsia="仿宋_GB2312" w:cs="仿宋_GB2312"/>
          <w:color w:val="auto"/>
          <w:sz w:val="32"/>
          <w:szCs w:val="40"/>
          <w:highlight w:val="none"/>
        </w:rPr>
        <w:t>亿</w:t>
      </w:r>
      <w:r>
        <w:rPr>
          <w:rFonts w:hint="eastAsia" w:ascii="仿宋_GB2312" w:hAnsi="仿宋_GB2312" w:eastAsia="仿宋_GB2312" w:cs="仿宋_GB2312"/>
          <w:color w:val="auto"/>
          <w:sz w:val="32"/>
          <w:szCs w:val="40"/>
          <w:highlight w:val="none"/>
        </w:rPr>
        <w:t>。</w:t>
      </w:r>
      <w:r>
        <w:rPr>
          <w:rFonts w:hint="eastAsia" w:ascii="黑体" w:hAnsi="黑体" w:eastAsia="黑体" w:cs="黑体"/>
          <w:color w:val="auto"/>
          <w:sz w:val="32"/>
          <w:szCs w:val="40"/>
          <w:highlight w:val="none"/>
          <w:lang w:val="en-US" w:eastAsia="zh-CN"/>
        </w:rPr>
        <w:t>二是</w:t>
      </w:r>
      <w:r>
        <w:rPr>
          <w:rFonts w:hint="eastAsia" w:ascii="仿宋_GB2312" w:hAnsi="仿宋_GB2312" w:eastAsia="仿宋_GB2312" w:cs="仿宋_GB2312"/>
          <w:color w:val="auto"/>
          <w:sz w:val="32"/>
          <w:szCs w:val="40"/>
          <w:highlight w:val="none"/>
        </w:rPr>
        <w:t>基金管理</w:t>
      </w:r>
      <w:r>
        <w:rPr>
          <w:rFonts w:hint="eastAsia" w:ascii="仿宋_GB2312" w:hAnsi="仿宋_GB2312" w:eastAsia="仿宋_GB2312" w:cs="仿宋_GB2312"/>
          <w:color w:val="auto"/>
          <w:sz w:val="32"/>
          <w:szCs w:val="40"/>
          <w:highlight w:val="none"/>
          <w:lang w:val="en-US" w:eastAsia="zh-CN"/>
        </w:rPr>
        <w:t>实现</w:t>
      </w:r>
      <w:r>
        <w:rPr>
          <w:rFonts w:hint="eastAsia" w:ascii="仿宋_GB2312" w:hAnsi="仿宋_GB2312" w:eastAsia="仿宋_GB2312" w:cs="仿宋_GB2312"/>
          <w:color w:val="auto"/>
          <w:sz w:val="32"/>
          <w:szCs w:val="40"/>
          <w:highlight w:val="none"/>
        </w:rPr>
        <w:t>突破</w:t>
      </w:r>
      <w:r>
        <w:rPr>
          <w:rFonts w:ascii="仿宋_GB2312" w:hAnsi="仿宋_GB2312" w:eastAsia="仿宋_GB2312" w:cs="仿宋_GB2312"/>
          <w:color w:val="auto"/>
          <w:sz w:val="32"/>
          <w:szCs w:val="40"/>
          <w:highlight w:val="none"/>
        </w:rPr>
        <w:t>，德州第一</w:t>
      </w:r>
      <w:r>
        <w:rPr>
          <w:rFonts w:hint="eastAsia" w:ascii="仿宋_GB2312" w:hAnsi="仿宋_GB2312" w:eastAsia="仿宋_GB2312" w:cs="仿宋_GB2312"/>
          <w:color w:val="auto"/>
          <w:sz w:val="32"/>
          <w:szCs w:val="40"/>
          <w:highlight w:val="none"/>
        </w:rPr>
        <w:t>支山东省</w:t>
      </w:r>
      <w:r>
        <w:rPr>
          <w:rFonts w:ascii="仿宋_GB2312" w:hAnsi="仿宋_GB2312" w:eastAsia="仿宋_GB2312" w:cs="仿宋_GB2312"/>
          <w:color w:val="auto"/>
          <w:sz w:val="32"/>
          <w:szCs w:val="40"/>
          <w:highlight w:val="none"/>
        </w:rPr>
        <w:t>新旧动能转换基金顺利落地，由财金基金公司管理</w:t>
      </w:r>
      <w:r>
        <w:rPr>
          <w:rFonts w:hint="eastAsia" w:ascii="仿宋_GB2312" w:hAnsi="仿宋_GB2312" w:eastAsia="仿宋_GB2312" w:cs="仿宋_GB2312"/>
          <w:color w:val="auto"/>
          <w:sz w:val="32"/>
          <w:szCs w:val="40"/>
          <w:highlight w:val="none"/>
          <w:lang w:eastAsia="zh-CN"/>
        </w:rPr>
        <w:t>，</w:t>
      </w:r>
      <w:r>
        <w:rPr>
          <w:rFonts w:hint="eastAsia" w:ascii="仿宋_GB2312" w:hAnsi="仿宋_GB2312" w:eastAsia="仿宋_GB2312" w:cs="仿宋_GB2312"/>
          <w:color w:val="auto"/>
          <w:sz w:val="32"/>
          <w:szCs w:val="40"/>
          <w:highlight w:val="none"/>
        </w:rPr>
        <w:t>实现了与</w:t>
      </w:r>
      <w:r>
        <w:rPr>
          <w:rFonts w:ascii="仿宋_GB2312" w:hAnsi="仿宋_GB2312" w:eastAsia="仿宋_GB2312" w:cs="仿宋_GB2312"/>
          <w:color w:val="auto"/>
          <w:sz w:val="32"/>
          <w:szCs w:val="40"/>
          <w:highlight w:val="none"/>
        </w:rPr>
        <w:t>中关村协同基金、深创投、三星物流</w:t>
      </w:r>
      <w:r>
        <w:rPr>
          <w:rFonts w:hint="eastAsia" w:ascii="仿宋_GB2312" w:hAnsi="仿宋_GB2312" w:eastAsia="仿宋_GB2312" w:cs="仿宋_GB2312"/>
          <w:color w:val="auto"/>
          <w:sz w:val="32"/>
          <w:szCs w:val="40"/>
          <w:highlight w:val="none"/>
        </w:rPr>
        <w:t>的</w:t>
      </w:r>
      <w:r>
        <w:rPr>
          <w:rFonts w:ascii="仿宋_GB2312" w:hAnsi="仿宋_GB2312" w:eastAsia="仿宋_GB2312" w:cs="仿宋_GB2312"/>
          <w:color w:val="auto"/>
          <w:sz w:val="32"/>
          <w:szCs w:val="40"/>
          <w:highlight w:val="none"/>
        </w:rPr>
        <w:t>战略合作</w:t>
      </w:r>
      <w:r>
        <w:rPr>
          <w:rFonts w:hint="eastAsia" w:ascii="仿宋_GB2312" w:hAnsi="仿宋_GB2312" w:eastAsia="仿宋_GB2312" w:cs="仿宋_GB2312"/>
          <w:color w:val="auto"/>
          <w:sz w:val="32"/>
          <w:szCs w:val="40"/>
          <w:highlight w:val="none"/>
        </w:rPr>
        <w:t>，</w:t>
      </w:r>
      <w:r>
        <w:rPr>
          <w:rFonts w:hint="eastAsia" w:ascii="仿宋_GB2312" w:hAnsi="仿宋_GB2312" w:eastAsia="仿宋_GB2312" w:cs="仿宋_GB2312"/>
          <w:color w:val="auto"/>
          <w:sz w:val="32"/>
          <w:szCs w:val="40"/>
          <w:highlight w:val="none"/>
          <w:lang w:val="en-US" w:eastAsia="zh-CN"/>
        </w:rPr>
        <w:t>下一步继续</w:t>
      </w:r>
      <w:r>
        <w:rPr>
          <w:rFonts w:hint="eastAsia" w:ascii="仿宋_GB2312" w:hAnsi="仿宋_GB2312" w:eastAsia="仿宋_GB2312" w:cs="仿宋_GB2312"/>
          <w:color w:val="auto"/>
          <w:sz w:val="32"/>
          <w:szCs w:val="40"/>
          <w:highlight w:val="none"/>
        </w:rPr>
        <w:t>与君紫资本、幂方资本等围绕基金招商、产业孵化、园区配套和资源链接开展合作。</w:t>
      </w:r>
      <w:r>
        <w:rPr>
          <w:rFonts w:hint="eastAsia" w:ascii="黑体" w:hAnsi="黑体" w:eastAsia="黑体" w:cs="黑体"/>
          <w:color w:val="auto"/>
          <w:sz w:val="32"/>
          <w:szCs w:val="40"/>
          <w:highlight w:val="none"/>
          <w:lang w:val="en-US" w:eastAsia="zh-CN"/>
        </w:rPr>
        <w:t>三是</w:t>
      </w:r>
      <w:r>
        <w:rPr>
          <w:rFonts w:hint="eastAsia" w:hAnsi="仿宋_GB2312" w:eastAsia="仿宋_GB2312"/>
          <w:color w:val="auto"/>
          <w:sz w:val="32"/>
          <w:szCs w:val="32"/>
          <w:lang w:val="en-US" w:eastAsia="zh-CN"/>
        </w:rPr>
        <w:t>招商引资成果显著。发挥国企引导、放大、平台作用，联合地方政府</w:t>
      </w:r>
      <w:r>
        <w:rPr>
          <w:rFonts w:hint="eastAsia" w:ascii="仿宋_GB2312" w:hAnsi="仿宋_GB2312" w:eastAsia="仿宋_GB2312" w:cs="仿宋_GB2312"/>
          <w:color w:val="auto"/>
          <w:sz w:val="32"/>
          <w:szCs w:val="32"/>
          <w:lang w:val="en-US" w:eastAsia="zh-CN"/>
        </w:rPr>
        <w:t>与</w:t>
      </w:r>
      <w:r>
        <w:rPr>
          <w:rFonts w:hint="default" w:ascii="Times New Roman" w:hAnsi="Times New Roman" w:eastAsia="黑体" w:cs="Times New Roman"/>
          <w:color w:val="auto"/>
          <w:sz w:val="32"/>
          <w:szCs w:val="32"/>
          <w:lang w:val="en-US" w:eastAsia="zh-CN"/>
        </w:rPr>
        <w:t>26</w:t>
      </w:r>
      <w:r>
        <w:rPr>
          <w:rFonts w:hint="eastAsia" w:ascii="仿宋_GB2312" w:hAnsi="仿宋_GB2312" w:eastAsia="仿宋_GB2312" w:cs="仿宋_GB2312"/>
          <w:color w:val="auto"/>
          <w:sz w:val="32"/>
          <w:szCs w:val="32"/>
          <w:lang w:val="en-US" w:eastAsia="zh-CN"/>
        </w:rPr>
        <w:t>家央企、名企、强企合作，推进招商引资项目产业化、园区化，启动实施了德州市应急物资储备及冷链物流保障基地项目、德云购电商平台等</w:t>
      </w:r>
      <w:r>
        <w:rPr>
          <w:rFonts w:hint="default" w:ascii="Times New Roman" w:hAnsi="Times New Roman" w:eastAsia="黑体" w:cs="Times New Roman"/>
          <w:color w:val="auto"/>
          <w:sz w:val="32"/>
          <w:szCs w:val="32"/>
          <w:lang w:val="en-US" w:eastAsia="zh-CN"/>
        </w:rPr>
        <w:t>5</w:t>
      </w:r>
      <w:r>
        <w:rPr>
          <w:rFonts w:hint="eastAsia" w:ascii="仿宋_GB2312" w:hAnsi="仿宋_GB2312" w:eastAsia="仿宋_GB2312" w:cs="仿宋_GB2312"/>
          <w:color w:val="auto"/>
          <w:sz w:val="32"/>
          <w:szCs w:val="32"/>
          <w:lang w:val="en-US" w:eastAsia="zh-CN"/>
        </w:rPr>
        <w:t>个项目，推动投资</w:t>
      </w:r>
      <w:r>
        <w:rPr>
          <w:rFonts w:hint="default" w:ascii="Times New Roman" w:hAnsi="Times New Roman" w:eastAsia="黑体" w:cs="Times New Roman"/>
          <w:color w:val="auto"/>
          <w:sz w:val="32"/>
          <w:szCs w:val="32"/>
          <w:lang w:val="en-US" w:eastAsia="zh-CN"/>
        </w:rPr>
        <w:t>3</w:t>
      </w:r>
      <w:r>
        <w:rPr>
          <w:rFonts w:hint="eastAsia" w:hAnsi="仿宋_GB2312" w:eastAsia="仿宋_GB2312"/>
          <w:color w:val="auto"/>
          <w:sz w:val="32"/>
          <w:szCs w:val="32"/>
          <w:lang w:val="en-US" w:eastAsia="zh-CN"/>
        </w:rPr>
        <w:t>亿元的液态特殊医学食品生产基地项目签约落地。</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leftChars="0" w:firstLine="640" w:firstLineChars="200"/>
        <w:jc w:val="both"/>
        <w:textAlignment w:val="auto"/>
        <w:rPr>
          <w:rFonts w:hint="eastAsia"/>
          <w:lang w:val="en-US" w:eastAsia="zh-CN"/>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（三）水务板块。公</w:t>
      </w:r>
      <w:r>
        <w:rPr>
          <w:rFonts w:hint="eastAsia" w:ascii="仿宋_GB2312" w:hAnsi="仿宋_GB2312" w:eastAsia="仿宋_GB2312" w:cs="仿宋_GB2312"/>
          <w:color w:val="auto"/>
          <w:sz w:val="32"/>
          <w:szCs w:val="40"/>
          <w:highlight w:val="none"/>
          <w:lang w:val="en-US" w:eastAsia="zh-CN"/>
        </w:rPr>
        <w:t>用水务公司集团年度内为德州市主城区供水</w:t>
      </w:r>
      <w:r>
        <w:rPr>
          <w:rFonts w:hint="default" w:ascii="Times New Roman" w:hAnsi="Times New Roman" w:eastAsia="黑体" w:cs="Times New Roman"/>
          <w:color w:val="auto"/>
          <w:sz w:val="32"/>
          <w:szCs w:val="40"/>
          <w:highlight w:val="none"/>
          <w:lang w:val="en-US" w:eastAsia="zh-CN"/>
        </w:rPr>
        <w:t>5044</w:t>
      </w:r>
      <w:r>
        <w:rPr>
          <w:rFonts w:hint="eastAsia" w:ascii="仿宋_GB2312" w:hAnsi="仿宋_GB2312" w:eastAsia="仿宋_GB2312" w:cs="仿宋_GB2312"/>
          <w:color w:val="auto"/>
          <w:sz w:val="32"/>
          <w:szCs w:val="40"/>
          <w:highlight w:val="none"/>
          <w:lang w:val="en-US" w:eastAsia="zh-CN"/>
        </w:rPr>
        <w:t>.</w:t>
      </w:r>
      <w:r>
        <w:rPr>
          <w:rFonts w:hint="default" w:ascii="Times New Roman" w:hAnsi="Times New Roman" w:eastAsia="黑体" w:cs="Times New Roman"/>
          <w:color w:val="auto"/>
          <w:sz w:val="32"/>
          <w:szCs w:val="40"/>
          <w:highlight w:val="none"/>
          <w:lang w:val="en-US" w:eastAsia="zh-CN"/>
        </w:rPr>
        <w:t>15</w:t>
      </w:r>
      <w:r>
        <w:rPr>
          <w:rFonts w:hint="eastAsia" w:ascii="仿宋_GB2312" w:hAnsi="仿宋_GB2312" w:eastAsia="仿宋_GB2312" w:cs="仿宋_GB2312"/>
          <w:color w:val="auto"/>
          <w:sz w:val="32"/>
          <w:szCs w:val="40"/>
          <w:highlight w:val="none"/>
          <w:lang w:val="en-US" w:eastAsia="zh-CN"/>
        </w:rPr>
        <w:t>万吨，售水</w:t>
      </w:r>
      <w:r>
        <w:rPr>
          <w:rFonts w:hint="default" w:ascii="Times New Roman" w:hAnsi="Times New Roman" w:eastAsia="黑体" w:cs="Times New Roman"/>
          <w:color w:val="auto"/>
          <w:sz w:val="32"/>
          <w:szCs w:val="40"/>
          <w:highlight w:val="none"/>
          <w:lang w:val="en-US" w:eastAsia="zh-CN"/>
        </w:rPr>
        <w:t>4240</w:t>
      </w:r>
      <w:r>
        <w:rPr>
          <w:rFonts w:hint="eastAsia" w:ascii="仿宋_GB2312" w:hAnsi="仿宋_GB2312" w:eastAsia="仿宋_GB2312" w:cs="仿宋_GB2312"/>
          <w:color w:val="auto"/>
          <w:sz w:val="32"/>
          <w:szCs w:val="40"/>
          <w:highlight w:val="none"/>
          <w:lang w:val="en-US" w:eastAsia="zh-CN"/>
        </w:rPr>
        <w:t>.</w:t>
      </w:r>
      <w:r>
        <w:rPr>
          <w:rFonts w:hint="default" w:ascii="Times New Roman" w:hAnsi="Times New Roman" w:eastAsia="黑体" w:cs="Times New Roman"/>
          <w:color w:val="auto"/>
          <w:sz w:val="32"/>
          <w:szCs w:val="40"/>
          <w:highlight w:val="none"/>
          <w:lang w:val="en-US" w:eastAsia="zh-CN"/>
        </w:rPr>
        <w:t>32</w:t>
      </w:r>
      <w:r>
        <w:rPr>
          <w:rFonts w:hint="eastAsia" w:ascii="仿宋_GB2312" w:hAnsi="仿宋_GB2312" w:eastAsia="仿宋_GB2312" w:cs="仿宋_GB2312"/>
          <w:color w:val="auto"/>
          <w:sz w:val="32"/>
          <w:szCs w:val="40"/>
          <w:highlight w:val="none"/>
          <w:lang w:val="en-US" w:eastAsia="zh-CN"/>
        </w:rPr>
        <w:t>万吨，水质综合合格率</w:t>
      </w:r>
      <w:r>
        <w:rPr>
          <w:rFonts w:hint="default" w:ascii="Times New Roman" w:hAnsi="Times New Roman" w:eastAsia="黑体" w:cs="Times New Roman"/>
          <w:color w:val="auto"/>
          <w:sz w:val="32"/>
          <w:szCs w:val="40"/>
          <w:highlight w:val="none"/>
          <w:lang w:val="en-US" w:eastAsia="zh-CN"/>
        </w:rPr>
        <w:t>99</w:t>
      </w:r>
      <w:r>
        <w:rPr>
          <w:rFonts w:hint="eastAsia" w:ascii="仿宋_GB2312" w:hAnsi="仿宋_GB2312" w:eastAsia="仿宋_GB2312" w:cs="仿宋_GB2312"/>
          <w:color w:val="auto"/>
          <w:sz w:val="32"/>
          <w:szCs w:val="40"/>
          <w:highlight w:val="none"/>
          <w:lang w:val="en-US" w:eastAsia="zh-CN"/>
        </w:rPr>
        <w:t>.</w:t>
      </w:r>
      <w:r>
        <w:rPr>
          <w:rFonts w:hint="default" w:ascii="Times New Roman" w:hAnsi="Times New Roman" w:eastAsia="黑体" w:cs="Times New Roman"/>
          <w:color w:val="auto"/>
          <w:sz w:val="32"/>
          <w:szCs w:val="40"/>
          <w:highlight w:val="none"/>
          <w:lang w:val="en-US" w:eastAsia="zh-CN"/>
        </w:rPr>
        <w:t>97</w:t>
      </w:r>
      <w:r>
        <w:rPr>
          <w:rFonts w:hint="eastAsia" w:ascii="仿宋_GB2312" w:hAnsi="仿宋_GB2312" w:eastAsia="仿宋_GB2312" w:cs="仿宋_GB2312"/>
          <w:color w:val="auto"/>
          <w:sz w:val="32"/>
          <w:szCs w:val="40"/>
          <w:highlight w:val="none"/>
          <w:lang w:val="en-US" w:eastAsia="zh-CN"/>
        </w:rPr>
        <w:t>%。累计铺设</w:t>
      </w:r>
      <w:r>
        <w:rPr>
          <w:rFonts w:hint="default" w:ascii="Times New Roman" w:hAnsi="Times New Roman" w:eastAsia="仿宋_GB2312" w:cs="Times New Roman"/>
          <w:color w:val="auto"/>
          <w:sz w:val="32"/>
          <w:szCs w:val="40"/>
          <w:highlight w:val="none"/>
          <w:lang w:val="en-US" w:eastAsia="zh-CN"/>
        </w:rPr>
        <w:t>DN</w:t>
      </w:r>
      <w:r>
        <w:rPr>
          <w:rFonts w:hint="default" w:ascii="Times New Roman" w:hAnsi="Times New Roman" w:eastAsia="黑体" w:cs="Times New Roman"/>
          <w:color w:val="auto"/>
          <w:sz w:val="32"/>
          <w:szCs w:val="40"/>
          <w:highlight w:val="none"/>
          <w:lang w:val="en-US" w:eastAsia="zh-CN"/>
        </w:rPr>
        <w:t>100</w:t>
      </w:r>
      <w:r>
        <w:rPr>
          <w:rFonts w:hint="eastAsia" w:ascii="仿宋_GB2312" w:hAnsi="仿宋_GB2312" w:eastAsia="仿宋_GB2312" w:cs="仿宋_GB2312"/>
          <w:color w:val="auto"/>
          <w:sz w:val="32"/>
          <w:szCs w:val="40"/>
          <w:highlight w:val="none"/>
          <w:lang w:val="en-US" w:eastAsia="zh-CN"/>
        </w:rPr>
        <w:t>以上供水管网</w:t>
      </w:r>
      <w:r>
        <w:rPr>
          <w:rFonts w:hint="default" w:ascii="Times New Roman" w:hAnsi="Times New Roman" w:eastAsia="黑体" w:cs="Times New Roman"/>
          <w:color w:val="auto"/>
          <w:sz w:val="32"/>
          <w:szCs w:val="40"/>
          <w:highlight w:val="none"/>
          <w:lang w:val="en-US" w:eastAsia="zh-CN"/>
        </w:rPr>
        <w:t>6775</w:t>
      </w:r>
      <w:r>
        <w:rPr>
          <w:rFonts w:hint="eastAsia" w:ascii="仿宋_GB2312" w:hAnsi="仿宋_GB2312" w:eastAsia="仿宋_GB2312" w:cs="仿宋_GB2312"/>
          <w:color w:val="auto"/>
          <w:sz w:val="32"/>
          <w:szCs w:val="40"/>
          <w:highlight w:val="none"/>
          <w:lang w:val="en-US" w:eastAsia="zh-CN"/>
        </w:rPr>
        <w:t>千米。大力构建水务系统信息化建设，安装管网监测设备</w:t>
      </w:r>
      <w:r>
        <w:rPr>
          <w:rFonts w:hint="default" w:ascii="Times New Roman" w:hAnsi="Times New Roman" w:eastAsia="黑体" w:cs="Times New Roman"/>
          <w:color w:val="auto"/>
          <w:sz w:val="32"/>
          <w:szCs w:val="40"/>
          <w:highlight w:val="none"/>
          <w:lang w:val="en-US" w:eastAsia="zh-CN"/>
        </w:rPr>
        <w:t>200</w:t>
      </w:r>
      <w:r>
        <w:rPr>
          <w:rFonts w:hint="eastAsia" w:ascii="仿宋_GB2312" w:hAnsi="仿宋_GB2312" w:eastAsia="仿宋_GB2312" w:cs="仿宋_GB2312"/>
          <w:color w:val="auto"/>
          <w:sz w:val="32"/>
          <w:szCs w:val="40"/>
          <w:highlight w:val="none"/>
          <w:lang w:val="en-US" w:eastAsia="zh-CN"/>
        </w:rPr>
        <w:t>余个，实现</w:t>
      </w:r>
      <w:r>
        <w:rPr>
          <w:rFonts w:hint="default" w:ascii="Times New Roman" w:hAnsi="Times New Roman" w:eastAsia="仿宋_GB2312" w:cs="Times New Roman"/>
          <w:color w:val="auto"/>
          <w:sz w:val="32"/>
          <w:szCs w:val="40"/>
          <w:highlight w:val="none"/>
          <w:lang w:val="en-US" w:eastAsia="zh-CN"/>
        </w:rPr>
        <w:t>DMA</w:t>
      </w:r>
      <w:r>
        <w:rPr>
          <w:rFonts w:hint="eastAsia" w:ascii="仿宋_GB2312" w:hAnsi="仿宋_GB2312" w:eastAsia="仿宋_GB2312" w:cs="仿宋_GB2312"/>
          <w:color w:val="auto"/>
          <w:sz w:val="32"/>
          <w:szCs w:val="40"/>
          <w:highlight w:val="none"/>
          <w:lang w:val="en-US" w:eastAsia="zh-CN"/>
        </w:rPr>
        <w:t>独立计量小区</w:t>
      </w:r>
      <w:r>
        <w:rPr>
          <w:rFonts w:hint="default" w:ascii="Times New Roman" w:hAnsi="Times New Roman" w:eastAsia="黑体" w:cs="Times New Roman"/>
          <w:color w:val="auto"/>
          <w:sz w:val="32"/>
          <w:szCs w:val="40"/>
          <w:highlight w:val="none"/>
          <w:lang w:val="en-US" w:eastAsia="zh-CN"/>
        </w:rPr>
        <w:t>60</w:t>
      </w:r>
      <w:r>
        <w:rPr>
          <w:rFonts w:hint="eastAsia" w:ascii="仿宋_GB2312" w:hAnsi="仿宋_GB2312" w:eastAsia="仿宋_GB2312" w:cs="仿宋_GB2312"/>
          <w:color w:val="auto"/>
          <w:sz w:val="32"/>
          <w:szCs w:val="40"/>
          <w:highlight w:val="none"/>
          <w:lang w:val="en-US" w:eastAsia="zh-CN"/>
        </w:rPr>
        <w:t>余个，主管网信息化覆盖率</w:t>
      </w:r>
      <w:r>
        <w:rPr>
          <w:rFonts w:hint="default" w:ascii="Times New Roman" w:hAnsi="Times New Roman" w:eastAsia="黑体" w:cs="Times New Roman"/>
          <w:color w:val="auto"/>
          <w:sz w:val="32"/>
          <w:szCs w:val="40"/>
          <w:highlight w:val="none"/>
          <w:lang w:val="en-US" w:eastAsia="zh-CN"/>
        </w:rPr>
        <w:t>80</w:t>
      </w:r>
      <w:r>
        <w:rPr>
          <w:rFonts w:hint="eastAsia" w:ascii="仿宋_GB2312" w:hAnsi="仿宋_GB2312" w:eastAsia="仿宋_GB2312" w:cs="仿宋_GB2312"/>
          <w:color w:val="auto"/>
          <w:sz w:val="32"/>
          <w:szCs w:val="40"/>
          <w:highlight w:val="none"/>
          <w:lang w:val="en-US" w:eastAsia="zh-CN"/>
        </w:rPr>
        <w:t>%以上。</w:t>
      </w:r>
      <w:r>
        <w:rPr>
          <w:rFonts w:hint="eastAsia" w:ascii="黑体" w:hAnsi="黑体" w:eastAsia="黑体" w:cs="黑体"/>
          <w:color w:val="auto"/>
          <w:sz w:val="32"/>
          <w:szCs w:val="40"/>
          <w:highlight w:val="none"/>
          <w:lang w:val="en-US" w:eastAsia="zh-CN"/>
        </w:rPr>
        <w:t>一是</w:t>
      </w:r>
      <w:r>
        <w:rPr>
          <w:rFonts w:hint="eastAsia" w:ascii="仿宋_GB2312" w:hAnsi="仿宋_GB2312" w:eastAsia="仿宋_GB2312" w:cs="仿宋_GB2312"/>
          <w:color w:val="auto"/>
          <w:sz w:val="32"/>
          <w:szCs w:val="40"/>
          <w:highlight w:val="none"/>
          <w:lang w:val="en-US" w:eastAsia="zh-CN"/>
        </w:rPr>
        <w:t>以集团化发展为契机，</w:t>
      </w:r>
      <w:r>
        <w:rPr>
          <w:rFonts w:hint="eastAsia" w:ascii="仿宋_GB2312" w:hAnsi="仿宋_GB2312" w:eastAsia="仿宋_GB2312" w:cs="仿宋_GB2312"/>
          <w:color w:val="auto"/>
          <w:sz w:val="32"/>
          <w:szCs w:val="40"/>
          <w:highlight w:val="none"/>
        </w:rPr>
        <w:t>内抓改革，外招市场</w:t>
      </w:r>
      <w:r>
        <w:rPr>
          <w:rFonts w:ascii="仿宋_GB2312" w:hAnsi="仿宋_GB2312" w:eastAsia="仿宋_GB2312" w:cs="仿宋_GB2312"/>
          <w:color w:val="auto"/>
          <w:sz w:val="32"/>
          <w:szCs w:val="40"/>
          <w:highlight w:val="none"/>
        </w:rPr>
        <w:t>，</w:t>
      </w:r>
      <w:r>
        <w:rPr>
          <w:rFonts w:hint="eastAsia" w:ascii="仿宋_GB2312" w:hAnsi="仿宋_GB2312" w:eastAsia="仿宋_GB2312" w:cs="仿宋_GB2312"/>
          <w:color w:val="auto"/>
          <w:sz w:val="32"/>
          <w:szCs w:val="40"/>
          <w:highlight w:val="none"/>
          <w:lang w:val="en-US" w:eastAsia="zh-CN"/>
        </w:rPr>
        <w:t>进一步</w:t>
      </w:r>
      <w:r>
        <w:rPr>
          <w:rFonts w:hint="eastAsia" w:hAnsi="仿宋_GB2312" w:eastAsia="仿宋_GB2312"/>
          <w:color w:val="auto"/>
          <w:sz w:val="32"/>
          <w:szCs w:val="32"/>
        </w:rPr>
        <w:t>理顺</w:t>
      </w:r>
      <w:r>
        <w:rPr>
          <w:rFonts w:hAnsi="仿宋_GB2312" w:eastAsia="仿宋_GB2312"/>
          <w:color w:val="auto"/>
          <w:sz w:val="32"/>
          <w:szCs w:val="32"/>
        </w:rPr>
        <w:t>民生供水和工程、设计等</w:t>
      </w:r>
      <w:r>
        <w:rPr>
          <w:rFonts w:hint="eastAsia" w:hAnsi="仿宋_GB2312" w:eastAsia="仿宋_GB2312"/>
          <w:color w:val="auto"/>
          <w:sz w:val="32"/>
          <w:szCs w:val="32"/>
        </w:rPr>
        <w:t>市场化</w:t>
      </w:r>
      <w:r>
        <w:rPr>
          <w:rFonts w:hAnsi="仿宋_GB2312" w:eastAsia="仿宋_GB2312"/>
          <w:color w:val="auto"/>
          <w:sz w:val="32"/>
          <w:szCs w:val="32"/>
        </w:rPr>
        <w:t>业务</w:t>
      </w:r>
      <w:r>
        <w:rPr>
          <w:rFonts w:hint="eastAsia" w:ascii="仿宋_GB2312" w:hAnsi="仿宋_GB2312" w:eastAsia="仿宋_GB2312" w:cs="仿宋_GB2312"/>
          <w:color w:val="auto"/>
          <w:sz w:val="32"/>
          <w:szCs w:val="40"/>
          <w:highlight w:val="none"/>
        </w:rPr>
        <w:t>。</w:t>
      </w:r>
      <w:r>
        <w:rPr>
          <w:rFonts w:hint="eastAsia" w:ascii="黑体" w:hAnsi="黑体" w:eastAsia="黑体" w:cs="黑体"/>
          <w:color w:val="auto"/>
          <w:sz w:val="32"/>
          <w:szCs w:val="40"/>
          <w:highlight w:val="none"/>
          <w:lang w:val="en-US" w:eastAsia="zh-CN"/>
        </w:rPr>
        <w:t>二是</w:t>
      </w:r>
      <w:r>
        <w:rPr>
          <w:rFonts w:ascii="仿宋_GB2312" w:hAnsi="仿宋_GB2312" w:eastAsia="仿宋_GB2312" w:cs="仿宋_GB2312"/>
          <w:color w:val="auto"/>
          <w:sz w:val="32"/>
          <w:szCs w:val="40"/>
          <w:highlight w:val="none"/>
        </w:rPr>
        <w:t>围绕改革外拓市场</w:t>
      </w:r>
      <w:r>
        <w:rPr>
          <w:rFonts w:hint="eastAsia" w:ascii="仿宋_GB2312" w:hAnsi="仿宋_GB2312" w:eastAsia="仿宋_GB2312" w:cs="仿宋_GB2312"/>
          <w:color w:val="auto"/>
          <w:sz w:val="32"/>
          <w:szCs w:val="40"/>
          <w:highlight w:val="none"/>
        </w:rPr>
        <w:t>、营收渠道，抓好产业链延伸，</w:t>
      </w:r>
      <w:r>
        <w:rPr>
          <w:rFonts w:ascii="仿宋_GB2312" w:hAnsi="仿宋_GB2312" w:eastAsia="仿宋_GB2312" w:cs="仿宋_GB2312"/>
          <w:color w:val="auto"/>
          <w:sz w:val="32"/>
          <w:szCs w:val="40"/>
          <w:highlight w:val="none"/>
        </w:rPr>
        <w:t>“四水”模式—供水、污水、尾水、中水</w:t>
      </w:r>
      <w:r>
        <w:rPr>
          <w:rFonts w:hint="eastAsia" w:ascii="仿宋_GB2312" w:hAnsi="仿宋_GB2312" w:eastAsia="仿宋_GB2312" w:cs="仿宋_GB2312"/>
          <w:color w:val="auto"/>
          <w:sz w:val="32"/>
          <w:szCs w:val="40"/>
          <w:highlight w:val="none"/>
          <w:lang w:val="en-US" w:eastAsia="zh-CN"/>
        </w:rPr>
        <w:t>链条</w:t>
      </w:r>
      <w:r>
        <w:rPr>
          <w:rFonts w:ascii="仿宋_GB2312" w:hAnsi="仿宋_GB2312" w:eastAsia="仿宋_GB2312" w:cs="仿宋_GB2312"/>
          <w:color w:val="auto"/>
          <w:sz w:val="32"/>
          <w:szCs w:val="40"/>
          <w:highlight w:val="none"/>
        </w:rPr>
        <w:t>基本形成</w:t>
      </w:r>
      <w:r>
        <w:rPr>
          <w:rFonts w:hint="eastAsia" w:ascii="仿宋_GB2312" w:hAnsi="仿宋_GB2312" w:eastAsia="仿宋_GB2312" w:cs="仿宋_GB2312"/>
          <w:color w:val="auto"/>
          <w:sz w:val="32"/>
          <w:szCs w:val="40"/>
          <w:highlight w:val="none"/>
        </w:rPr>
        <w:t>，为未来发展创造了空间</w:t>
      </w:r>
      <w:r>
        <w:rPr>
          <w:rFonts w:hint="eastAsia" w:ascii="仿宋_GB2312" w:hAnsi="仿宋_GB2312" w:eastAsia="仿宋_GB2312" w:cs="仿宋_GB2312"/>
          <w:color w:val="auto"/>
          <w:sz w:val="32"/>
          <w:szCs w:val="40"/>
          <w:highlight w:val="none"/>
          <w:lang w:eastAsia="zh-CN"/>
        </w:rPr>
        <w:t>。</w:t>
      </w:r>
      <w:r>
        <w:rPr>
          <w:rFonts w:hint="eastAsia" w:ascii="黑体" w:hAnsi="黑体" w:eastAsia="黑体" w:cs="黑体"/>
          <w:color w:val="auto"/>
          <w:sz w:val="32"/>
          <w:szCs w:val="40"/>
          <w:highlight w:val="none"/>
          <w:lang w:val="en-US" w:eastAsia="zh-CN"/>
        </w:rPr>
        <w:t>三是</w:t>
      </w:r>
      <w:r>
        <w:rPr>
          <w:rFonts w:hint="eastAsia" w:ascii="仿宋_GB2312" w:hAnsi="仿宋_GB2312" w:eastAsia="仿宋_GB2312" w:cs="仿宋_GB2312"/>
          <w:color w:val="auto"/>
          <w:sz w:val="32"/>
          <w:szCs w:val="40"/>
          <w:highlight w:val="none"/>
          <w:lang w:val="en-US" w:eastAsia="zh-CN"/>
        </w:rPr>
        <w:t>持续优化营商环境，</w:t>
      </w:r>
      <w:r>
        <w:rPr>
          <w:rFonts w:hint="eastAsia" w:ascii="仿宋_GB2312" w:hAnsi="仿宋_GB2312" w:eastAsia="仿宋_GB2312" w:cs="仿宋_GB2312"/>
          <w:color w:val="auto"/>
          <w:sz w:val="32"/>
          <w:szCs w:val="40"/>
          <w:highlight w:val="none"/>
        </w:rPr>
        <w:t>优化报装流程，降低企业用水成本，创新服务模式，让客户省心、省力。</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leftChars="0" w:firstLine="640" w:firstLineChars="200"/>
        <w:jc w:val="both"/>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（四）粮食板块。</w:t>
      </w:r>
      <w:r>
        <w:rPr>
          <w:rFonts w:hint="eastAsia" w:ascii="仿宋_GB2312" w:hAnsi="仿宋_GB2312" w:eastAsia="仿宋_GB2312" w:cs="仿宋_GB2312"/>
          <w:color w:val="auto"/>
          <w:sz w:val="32"/>
          <w:szCs w:val="40"/>
          <w:highlight w:val="none"/>
        </w:rPr>
        <w:t>成立中共粮食企业党委，</w:t>
      </w:r>
      <w:r>
        <w:rPr>
          <w:rFonts w:hint="eastAsia" w:ascii="仿宋_GB2312" w:hAnsi="仿宋_GB2312" w:eastAsia="仿宋_GB2312" w:cs="仿宋_GB2312"/>
          <w:color w:val="auto"/>
          <w:sz w:val="32"/>
          <w:szCs w:val="40"/>
          <w:highlight w:val="none"/>
          <w:lang w:val="en-US" w:eastAsia="zh-CN"/>
        </w:rPr>
        <w:t>粮食企业</w:t>
      </w:r>
      <w:r>
        <w:rPr>
          <w:rFonts w:hint="eastAsia" w:ascii="仿宋_GB2312" w:hAnsi="仿宋_GB2312" w:eastAsia="仿宋_GB2312" w:cs="仿宋_GB2312"/>
          <w:color w:val="auto"/>
          <w:sz w:val="32"/>
          <w:szCs w:val="40"/>
          <w:highlight w:val="none"/>
        </w:rPr>
        <w:t>协同发展的能力</w:t>
      </w:r>
      <w:r>
        <w:rPr>
          <w:rFonts w:hint="eastAsia" w:ascii="仿宋_GB2312" w:hAnsi="仿宋_GB2312" w:eastAsia="仿宋_GB2312" w:cs="仿宋_GB2312"/>
          <w:color w:val="auto"/>
          <w:sz w:val="32"/>
          <w:szCs w:val="40"/>
          <w:highlight w:val="none"/>
          <w:lang w:val="en-US" w:eastAsia="zh-CN"/>
        </w:rPr>
        <w:t>显著提升</w:t>
      </w:r>
      <w:r>
        <w:rPr>
          <w:rFonts w:hint="eastAsia" w:ascii="仿宋_GB2312" w:hAnsi="仿宋_GB2312" w:eastAsia="仿宋_GB2312" w:cs="仿宋_GB2312"/>
          <w:color w:val="auto"/>
          <w:sz w:val="32"/>
          <w:szCs w:val="40"/>
          <w:highlight w:val="none"/>
          <w:lang w:eastAsia="zh-CN"/>
        </w:rPr>
        <w:t>，</w:t>
      </w:r>
      <w:r>
        <w:rPr>
          <w:rFonts w:hint="eastAsia" w:ascii="仿宋_GB2312" w:hAnsi="仿宋_GB2312" w:eastAsia="仿宋_GB2312" w:cs="仿宋_GB2312"/>
          <w:color w:val="auto"/>
          <w:sz w:val="32"/>
          <w:szCs w:val="40"/>
          <w:highlight w:val="none"/>
          <w:lang w:val="en-US" w:eastAsia="zh-CN"/>
        </w:rPr>
        <w:t>逐步成长为</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集粮食贸易、粮油仓储、物资储备、军供保障、冷链物流为一体的现代综合型粮食企业。</w:t>
      </w:r>
      <w:r>
        <w:rPr>
          <w:rFonts w:ascii="仿宋_GB2312" w:hAnsi="仿宋_GB2312" w:eastAsia="仿宋_GB2312" w:cs="仿宋_GB2312"/>
          <w:color w:val="auto"/>
          <w:sz w:val="32"/>
          <w:szCs w:val="40"/>
          <w:highlight w:val="none"/>
        </w:rPr>
        <w:t>军供产业园成为新的增长点，</w:t>
      </w:r>
      <w:r>
        <w:rPr>
          <w:rFonts w:hint="eastAsia" w:ascii="仿宋_GB2312" w:hAnsi="仿宋_GB2312" w:eastAsia="仿宋_GB2312" w:cs="仿宋_GB2312"/>
          <w:color w:val="auto"/>
          <w:sz w:val="32"/>
          <w:szCs w:val="40"/>
          <w:highlight w:val="none"/>
        </w:rPr>
        <w:t>德州市应急物资储备和冷链物流保障基地项目建设</w:t>
      </w:r>
      <w:r>
        <w:rPr>
          <w:rFonts w:hint="eastAsia" w:ascii="仿宋_GB2312" w:hAnsi="仿宋_GB2312" w:eastAsia="仿宋_GB2312" w:cs="仿宋_GB2312"/>
          <w:color w:val="auto"/>
          <w:sz w:val="32"/>
          <w:szCs w:val="40"/>
          <w:highlight w:val="none"/>
          <w:lang w:val="en-US" w:eastAsia="zh-CN"/>
        </w:rPr>
        <w:t>有序开展</w:t>
      </w:r>
      <w:r>
        <w:rPr>
          <w:rFonts w:hint="eastAsia" w:ascii="仿宋_GB2312" w:hAnsi="仿宋_GB2312" w:eastAsia="仿宋_GB2312" w:cs="仿宋_GB2312"/>
          <w:color w:val="auto"/>
          <w:sz w:val="32"/>
          <w:szCs w:val="40"/>
          <w:highlight w:val="none"/>
        </w:rPr>
        <w:t>，共引进海大、晨雨、柳桥、北京（单记）、聚华扒鸡</w:t>
      </w:r>
      <w:r>
        <w:rPr>
          <w:rFonts w:hint="default" w:ascii="Times New Roman" w:hAnsi="Times New Roman" w:eastAsia="黑体" w:cs="Times New Roman"/>
          <w:color w:val="auto"/>
          <w:sz w:val="32"/>
          <w:szCs w:val="40"/>
          <w:highlight w:val="none"/>
          <w:lang w:val="en-US" w:eastAsia="zh-CN"/>
        </w:rPr>
        <w:t>5</w:t>
      </w:r>
      <w:r>
        <w:rPr>
          <w:rFonts w:hint="eastAsia" w:ascii="仿宋_GB2312" w:hAnsi="仿宋_GB2312" w:eastAsia="仿宋_GB2312" w:cs="仿宋_GB2312"/>
          <w:color w:val="auto"/>
          <w:sz w:val="32"/>
          <w:szCs w:val="40"/>
          <w:highlight w:val="none"/>
          <w:lang w:val="en-US" w:eastAsia="zh-CN"/>
        </w:rPr>
        <w:t>家</w:t>
      </w:r>
      <w:r>
        <w:rPr>
          <w:rFonts w:hint="eastAsia" w:ascii="仿宋_GB2312" w:hAnsi="仿宋_GB2312" w:eastAsia="仿宋_GB2312" w:cs="仿宋_GB2312"/>
          <w:color w:val="auto"/>
          <w:sz w:val="32"/>
          <w:szCs w:val="40"/>
          <w:highlight w:val="none"/>
        </w:rPr>
        <w:t>企业</w:t>
      </w:r>
      <w:r>
        <w:rPr>
          <w:rFonts w:hint="eastAsia" w:ascii="仿宋_GB2312" w:hAnsi="仿宋_GB2312" w:eastAsia="仿宋_GB2312" w:cs="仿宋_GB2312"/>
          <w:color w:val="auto"/>
          <w:sz w:val="32"/>
          <w:szCs w:val="40"/>
          <w:highlight w:val="none"/>
          <w:lang w:val="en-US" w:eastAsia="zh-CN"/>
        </w:rPr>
        <w:t>入驻园区；</w:t>
      </w:r>
      <w:r>
        <w:rPr>
          <w:rFonts w:hint="eastAsia" w:eastAsia="仿宋_GB2312"/>
          <w:color w:val="000000"/>
          <w:sz w:val="32"/>
          <w:szCs w:val="32"/>
        </w:rPr>
        <w:t>打造</w:t>
      </w:r>
      <w:r>
        <w:rPr>
          <w:rFonts w:hint="eastAsia" w:eastAsia="仿宋_GB2312"/>
          <w:color w:val="000000"/>
          <w:sz w:val="32"/>
          <w:szCs w:val="32"/>
          <w:lang w:eastAsia="zh-CN"/>
        </w:rPr>
        <w:t>“</w:t>
      </w:r>
      <w:r>
        <w:rPr>
          <w:rFonts w:hint="eastAsia" w:eastAsia="仿宋_GB2312"/>
          <w:color w:val="000000"/>
          <w:sz w:val="32"/>
          <w:szCs w:val="32"/>
          <w:lang w:val="en-US" w:eastAsia="zh-CN"/>
        </w:rPr>
        <w:t>德云购</w:t>
      </w:r>
      <w:r>
        <w:rPr>
          <w:rFonts w:hint="eastAsia" w:eastAsia="仿宋_GB2312"/>
          <w:color w:val="000000"/>
          <w:sz w:val="32"/>
          <w:szCs w:val="32"/>
          <w:lang w:eastAsia="zh-CN"/>
        </w:rPr>
        <w:t>”</w:t>
      </w:r>
      <w:r>
        <w:rPr>
          <w:rFonts w:hint="eastAsia" w:eastAsia="仿宋_GB2312"/>
          <w:color w:val="000000"/>
          <w:sz w:val="32"/>
          <w:szCs w:val="32"/>
        </w:rPr>
        <w:t>区域</w:t>
      </w:r>
      <w:r>
        <w:rPr>
          <w:rFonts w:hint="eastAsia" w:eastAsia="仿宋_GB2312"/>
          <w:color w:val="000000"/>
          <w:sz w:val="32"/>
          <w:szCs w:val="32"/>
          <w:lang w:val="en-US" w:eastAsia="zh-CN"/>
        </w:rPr>
        <w:t>性</w:t>
      </w:r>
      <w:r>
        <w:rPr>
          <w:rFonts w:hint="eastAsia" w:eastAsia="仿宋_GB2312"/>
          <w:color w:val="000000"/>
          <w:sz w:val="32"/>
          <w:szCs w:val="32"/>
        </w:rPr>
        <w:t>大宗商品电商平台</w:t>
      </w:r>
      <w:r>
        <w:rPr>
          <w:rFonts w:hint="eastAsia" w:eastAsia="仿宋_GB2312"/>
          <w:color w:val="000000"/>
          <w:sz w:val="32"/>
          <w:szCs w:val="32"/>
          <w:lang w:eastAsia="zh-CN"/>
        </w:rPr>
        <w:t>；</w:t>
      </w:r>
      <w:r>
        <w:rPr>
          <w:rFonts w:hint="eastAsia" w:eastAsia="仿宋_GB2312"/>
          <w:color w:val="000000"/>
          <w:sz w:val="32"/>
          <w:szCs w:val="32"/>
        </w:rPr>
        <w:t>设立山东省粮油交易中心德州分中心</w:t>
      </w:r>
      <w:r>
        <w:rPr>
          <w:rFonts w:hint="eastAsia" w:ascii="仿宋_GB2312" w:hAnsi="仿宋" w:eastAsia="仿宋_GB2312" w:cs="仿宋"/>
          <w:kern w:val="0"/>
          <w:sz w:val="32"/>
          <w:szCs w:val="32"/>
          <w:lang w:val="en-US" w:eastAsia="zh-CN"/>
        </w:rPr>
        <w:t>。</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满足人们由“吃得饱”向“吃得好、吃得放心”的消费升级需求，顺应粮食供给侧优化调整，有效对接需求侧结构升级，努力实现收购缓解优质优价、储存环节保质保价、销售环节好粮好价，增强储备粮供给对需求变化的适应性和灵活性。</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leftChars="0" w:firstLine="640"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（五）现代服务业态。</w:t>
      </w:r>
      <w:r>
        <w:rPr>
          <w:rFonts w:hint="eastAsia" w:ascii="仿宋_GB2312" w:hAnsi="仿宋_GB2312" w:eastAsia="仿宋_GB2312" w:cs="仿宋_GB2312"/>
          <w:sz w:val="32"/>
          <w:szCs w:val="32"/>
          <w:lang w:val="en-US" w:eastAsia="zh-CN"/>
        </w:rPr>
        <w:t>金鼎物业下大力气做好创品牌、壮实力等工作，对标先进积极打造“智慧物业”“红色物业”，物业管理标准化、规范化水平显著提升；凯元餐饮公司加大增收和降费力度，持续深化内部改革，酒店市场化、规范化管理水平再上新台阶；凯发汽车租赁公司积极打造“车保姆”服务平台，大力拓展业务量；国际公司国际、国内劳务派遣业务双线并进；涉密载体销毁工作聚焦全市、辐射周边。</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leftChars="0" w:firstLine="640" w:firstLineChars="200"/>
        <w:jc w:val="both"/>
        <w:textAlignment w:val="auto"/>
        <w:rPr>
          <w:rFonts w:hint="eastAsia"/>
          <w:lang w:val="en-US" w:eastAsia="zh-CN"/>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（六）医养健康板块。</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立足东部医疗中心、妇女儿童医院、传染病医院，打造全市智慧医疗器械生态系统。围绕东部医疗中心项目打造“高端诊疗、康复养老、学术交流、会议服务”为一体的医疗健康产业园区。吸引浙江科露宝食品有限公司将</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3</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亿元液态特殊医学食品生产基地落户德州新旧动能示范区，投资布局人工髋/膝关节生产研发企业。建立德州市大健康医药交易平台，连接上游供应商和下游的各类医疗机构/药店直至终端消费者；创新医药产品的价格形成机制，提升供应链服务质量，提高供应链结算效率，节约金融成本，促进产业链上下游深度融合，发展区域大健康医药产业平台经济，助力德州打造三医联动的符合国家政策导向的全新模式。</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leftChars="0" w:firstLine="640" w:firstLineChars="200"/>
        <w:jc w:val="both"/>
        <w:textAlignment w:val="auto"/>
        <w:rPr>
          <w:rFonts w:hint="eastAsia"/>
          <w:lang w:val="en-US" w:eastAsia="zh-CN"/>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（七）智慧农业。</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投资建设单体面积亚洲最大的陵城区智慧农业大棚，项目总体规划</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805</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亩，大棚生产区占</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598</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亩，大棚的单体面积达</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230</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亩。采用阿里云技术及荷兰物联网技术，实时采集棚内环境信息，运用传感器和软件通过移动客户端或者电脑平台，实现精准控制浇水量、施肥量、温度、湿度等，使传统农业更具“智慧”。打造“德品天成”和“绿智优选”自有品牌，与盒马鲜生、互联网零售商、高端商超合作，全部实现订单销售，为传统农业描绘物联网时代的大突破。</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leftChars="0" w:firstLine="640" w:firstLineChars="200"/>
        <w:jc w:val="both"/>
        <w:textAlignment w:val="auto"/>
        <w:rPr>
          <w:rFonts w:hint="default" w:ascii="仿宋_GB2312" w:hAnsi="仿宋_GB2312" w:eastAsia="仿宋_GB2312" w:cs="仿宋_GB2312"/>
          <w:sz w:val="32"/>
          <w:szCs w:val="32"/>
          <w:lang w:val="en-US" w:eastAsia="zh-CN"/>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（八）盐业板块。</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财金盐业公司年度销售大包装食盐</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5289</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吨，小包装食盐</w:t>
      </w:r>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1884</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吨。坚持以优化产品结构为主方向，以优质新款海盐为突破口，选定高品质“</w:t>
      </w:r>
      <w:r>
        <w:rPr>
          <w:rFonts w:hint="eastAsia" w:ascii="仿宋_GB2312" w:hAnsi="仿宋_GB2312" w:eastAsia="仿宋_GB2312" w:cs="仿宋_GB2312"/>
          <w:sz w:val="32"/>
          <w:szCs w:val="32"/>
        </w:rPr>
        <w:t>雪花盐”作为核心产品进行推广</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线上面向全国，线下逐户地推，让放心盐进社区，让财金盐业品牌深入人心</w:t>
      </w:r>
      <w:r>
        <w:rPr>
          <w:rFonts w:hint="eastAsia" w:ascii="仿宋_GB2312" w:hAnsi="仿宋_GB2312" w:eastAsia="仿宋_GB2312" w:cs="仿宋_GB2312"/>
          <w:sz w:val="32"/>
          <w:szCs w:val="32"/>
          <w:lang w:eastAsia="zh-CN"/>
        </w:rPr>
        <w:t>。</w:t>
      </w:r>
      <w:r>
        <w:rPr>
          <w:rFonts w:hint="default" w:ascii="仿宋_GB2312" w:hAnsi="仿宋_GB2312" w:eastAsia="仿宋_GB2312" w:cs="仿宋_GB2312"/>
          <w:sz w:val="32"/>
          <w:szCs w:val="32"/>
          <w:lang w:val="en-US" w:eastAsia="zh-CN"/>
        </w:rPr>
        <w:t>设立</w:t>
      </w:r>
      <w:r>
        <w:rPr>
          <w:rFonts w:hint="default" w:ascii="Times New Roman" w:hAnsi="Times New Roman" w:eastAsia="黑体" w:cs="Times New Roman"/>
          <w:sz w:val="32"/>
          <w:szCs w:val="32"/>
          <w:lang w:val="en-US" w:eastAsia="zh-CN"/>
        </w:rPr>
        <w:t>32</w:t>
      </w:r>
      <w:r>
        <w:rPr>
          <w:rFonts w:hint="default" w:ascii="仿宋_GB2312" w:hAnsi="仿宋_GB2312" w:eastAsia="仿宋_GB2312" w:cs="仿宋_GB2312"/>
          <w:sz w:val="32"/>
          <w:szCs w:val="32"/>
          <w:lang w:val="en-US" w:eastAsia="zh-CN"/>
        </w:rPr>
        <w:t>个配送责任区，</w:t>
      </w:r>
      <w:r>
        <w:rPr>
          <w:rFonts w:hint="default" w:ascii="Times New Roman" w:hAnsi="Times New Roman" w:eastAsia="黑体" w:cs="Times New Roman"/>
          <w:sz w:val="32"/>
          <w:szCs w:val="32"/>
          <w:lang w:val="en-US" w:eastAsia="zh-CN"/>
        </w:rPr>
        <w:t>6580</w:t>
      </w:r>
      <w:r>
        <w:rPr>
          <w:rFonts w:hint="default" w:ascii="仿宋_GB2312" w:hAnsi="仿宋_GB2312" w:eastAsia="仿宋_GB2312" w:cs="仿宋_GB2312"/>
          <w:sz w:val="32"/>
          <w:szCs w:val="32"/>
          <w:lang w:val="en-US" w:eastAsia="zh-CN"/>
        </w:rPr>
        <w:t>个连锁配送网点。国家、省考核的食盐专营“三率”（食盐计划完成率、碘盐覆盖率、合格碘盐食用率）分别为</w:t>
      </w:r>
      <w:r>
        <w:rPr>
          <w:rFonts w:hint="default" w:ascii="Times New Roman" w:hAnsi="Times New Roman" w:eastAsia="黑体" w:cs="Times New Roman"/>
          <w:sz w:val="32"/>
          <w:szCs w:val="32"/>
          <w:lang w:val="en-US" w:eastAsia="zh-CN"/>
        </w:rPr>
        <w:t>100</w:t>
      </w:r>
      <w:r>
        <w:rPr>
          <w:rFonts w:hint="default" w:ascii="仿宋_GB2312" w:hAnsi="仿宋_GB2312" w:eastAsia="仿宋_GB2312" w:cs="仿宋_GB2312"/>
          <w:sz w:val="32"/>
          <w:szCs w:val="32"/>
          <w:lang w:val="en-US" w:eastAsia="zh-CN"/>
        </w:rPr>
        <w:t>%、</w:t>
      </w:r>
      <w:r>
        <w:rPr>
          <w:rFonts w:hint="default" w:ascii="Times New Roman" w:hAnsi="Times New Roman" w:eastAsia="黑体" w:cs="Times New Roman"/>
          <w:sz w:val="32"/>
          <w:szCs w:val="32"/>
          <w:lang w:val="en-US" w:eastAsia="zh-CN"/>
        </w:rPr>
        <w:t>95</w:t>
      </w:r>
      <w:r>
        <w:rPr>
          <w:rFonts w:hint="default" w:ascii="仿宋_GB2312" w:hAnsi="仿宋_GB2312" w:eastAsia="仿宋_GB2312" w:cs="仿宋_GB2312"/>
          <w:sz w:val="32"/>
          <w:szCs w:val="32"/>
          <w:lang w:val="en-US" w:eastAsia="zh-CN"/>
        </w:rPr>
        <w:t>%、</w:t>
      </w:r>
      <w:r>
        <w:rPr>
          <w:rFonts w:hint="default" w:ascii="Times New Roman" w:hAnsi="Times New Roman" w:eastAsia="黑体" w:cs="Times New Roman"/>
          <w:sz w:val="32"/>
          <w:szCs w:val="32"/>
          <w:lang w:val="en-US" w:eastAsia="zh-CN"/>
        </w:rPr>
        <w:t>95</w:t>
      </w:r>
      <w:r>
        <w:rPr>
          <w:rFonts w:hint="default" w:ascii="仿宋_GB2312" w:hAnsi="仿宋_GB2312" w:eastAsia="仿宋_GB2312" w:cs="仿宋_GB2312"/>
          <w:sz w:val="32"/>
          <w:szCs w:val="32"/>
          <w:lang w:val="en-US" w:eastAsia="zh-CN"/>
        </w:rPr>
        <w:t>%。</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default" w:ascii="黑体" w:hAnsi="黑体" w:eastAsia="黑体" w:cs="黑体"/>
          <w:color w:val="000000" w:themeColor="text1"/>
          <w:kern w:val="0"/>
          <w:sz w:val="32"/>
          <w:szCs w:val="32"/>
          <w:lang w:val="en-US" w:eastAsia="zh-CN" w:bidi="ar"/>
          <w14:textFill>
            <w14:solidFill>
              <w14:schemeClr w14:val="tx1"/>
            </w14:solidFill>
          </w14:textFill>
        </w:rPr>
      </w:pPr>
      <w:r>
        <w:rPr>
          <w:rFonts w:hint="eastAsia" w:ascii="黑体" w:hAnsi="黑体" w:eastAsia="黑体" w:cs="黑体"/>
          <w:color w:val="000000" w:themeColor="text1"/>
          <w:kern w:val="0"/>
          <w:sz w:val="32"/>
          <w:szCs w:val="32"/>
          <w:lang w:val="en-US" w:eastAsia="zh-CN" w:bidi="ar"/>
          <w14:textFill>
            <w14:solidFill>
              <w14:schemeClr w14:val="tx1"/>
            </w14:solidFill>
          </w14:textFill>
        </w:rPr>
        <w:t>四、创新发展，探索绿色未来</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sz w:val="32"/>
          <w:szCs w:val="32"/>
          <w:lang w:val="en-US" w:eastAsia="zh-CN"/>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（一）进军环保板块。</w:t>
      </w:r>
      <w:r>
        <w:rPr>
          <w:rFonts w:hint="eastAsia" w:ascii="仿宋_GB2312" w:hAnsi="仿宋_GB2312" w:eastAsia="仿宋_GB2312" w:cs="仿宋_GB2312"/>
          <w:sz w:val="32"/>
          <w:szCs w:val="32"/>
          <w:lang w:val="en-US" w:eastAsia="zh-CN"/>
        </w:rPr>
        <w:t>成立国鑫环保科技公司，以“提升城市功能，保护生态环境”为发展定位，以实现城市“四水联动，碧水绕城”为主业使命，以中心城区排水、污水、污泥处理统一运营管理为起点，逐步实现环保产业规模化，中水回用市场化，民生服务智慧化，形成多元化的环境产业链条，全力服务和支持德州市生态环境事业发展。</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（二）布局绿色产业。</w:t>
      </w:r>
      <w:r>
        <w:rPr>
          <w:rFonts w:hint="eastAsia" w:ascii="黑体" w:hAnsi="黑体" w:eastAsia="黑体" w:cs="黑体"/>
          <w:color w:val="000000" w:themeColor="text1"/>
          <w:kern w:val="0"/>
          <w:sz w:val="32"/>
          <w:szCs w:val="32"/>
          <w:lang w:val="en-US" w:eastAsia="zh-CN" w:bidi="ar"/>
          <w14:textFill>
            <w14:solidFill>
              <w14:schemeClr w14:val="tx1"/>
            </w14:solidFill>
          </w14:textFill>
        </w:rPr>
        <w:t>一是</w:t>
      </w:r>
      <w:r>
        <w:rPr>
          <w:rFonts w:hint="eastAsia" w:ascii="仿宋_GB2312" w:hAnsi="仿宋_GB2312" w:eastAsia="仿宋_GB2312" w:cs="仿宋_GB2312"/>
          <w:sz w:val="32"/>
          <w:szCs w:val="32"/>
          <w:lang w:val="en-US" w:eastAsia="zh-CN"/>
        </w:rPr>
        <w:t>作为绿色经济的倡导者，积极探索开发清洁能源，响应国家新能源汽车发展战略，围绕松果新能源汽车，助力新材料、新能源、新技术颠覆传统生产工艺，整合上下游产业链，形成产业集群，让汽车产业的未来更加闪烁。</w:t>
      </w:r>
      <w:r>
        <w:rPr>
          <w:rFonts w:hint="eastAsia" w:ascii="黑体" w:hAnsi="黑体" w:eastAsia="黑体" w:cs="黑体"/>
          <w:color w:val="000000" w:themeColor="text1"/>
          <w:kern w:val="0"/>
          <w:sz w:val="32"/>
          <w:szCs w:val="32"/>
          <w:lang w:val="en-US" w:eastAsia="zh-CN" w:bidi="ar"/>
          <w14:textFill>
            <w14:solidFill>
              <w14:schemeClr w14:val="tx1"/>
            </w14:solidFill>
          </w14:textFill>
        </w:rPr>
        <w:t>二是</w:t>
      </w:r>
      <w:r>
        <w:rPr>
          <w:rFonts w:hint="eastAsia" w:ascii="仿宋_GB2312" w:hAnsi="仿宋_GB2312" w:eastAsia="仿宋_GB2312" w:cs="仿宋_GB2312"/>
          <w:sz w:val="32"/>
          <w:szCs w:val="32"/>
          <w:lang w:val="en-US" w:eastAsia="zh-CN"/>
        </w:rPr>
        <w:t>作为绿色农业的先行者，建造的智慧农业大棚定植使用无土栽培，在温室内使用悬挂式种植槽，采用椰糠作为栽培基质，作物施肥时不与地表土壤接触，相对传统温室的地面土壤种植避免了对土壤的污染。温室内采用生物病虫害控制手段，大大减少了农药的使用，此种植及病虫害控制方式相对传统大棚的种植方式和农药使用，对环境更友好，有助于社会可持续发展。</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sz w:val="32"/>
          <w:szCs w:val="32"/>
          <w:lang w:val="en-US" w:eastAsia="zh-CN"/>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（三）倡导绿色办公。</w:t>
      </w:r>
      <w:r>
        <w:rPr>
          <w:rFonts w:hint="eastAsia" w:ascii="仿宋_GB2312" w:hAnsi="仿宋_GB2312" w:eastAsia="仿宋_GB2312" w:cs="仿宋_GB2312"/>
          <w:sz w:val="32"/>
          <w:szCs w:val="32"/>
          <w:lang w:val="en-US" w:eastAsia="zh-CN"/>
        </w:rPr>
        <w:t>集团坚持合理利用资源，践行低碳环保，推行绿色办公，倡导企业效益、社会效益和生态效益整体价值的最大化。通过不断升级完善</w:t>
      </w:r>
      <w:r>
        <w:rPr>
          <w:rFonts w:hint="default" w:ascii="Times New Roman" w:hAnsi="Times New Roman" w:eastAsia="仿宋_GB2312" w:cs="Times New Roman"/>
          <w:sz w:val="32"/>
          <w:szCs w:val="32"/>
          <w:lang w:val="en-US" w:eastAsia="zh-CN"/>
        </w:rPr>
        <w:t>OA</w:t>
      </w:r>
      <w:r>
        <w:rPr>
          <w:rFonts w:hint="eastAsia" w:ascii="仿宋_GB2312" w:hAnsi="仿宋_GB2312" w:eastAsia="仿宋_GB2312" w:cs="仿宋_GB2312"/>
          <w:sz w:val="32"/>
          <w:szCs w:val="32"/>
          <w:lang w:val="en-US" w:eastAsia="zh-CN"/>
        </w:rPr>
        <w:t>办公系统，提升办公效率，减少纸质文件数量。提倡低碳节能办公方式，从节约一张纸、一度电、一滴水的细节入手，强化员工节能意识。</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（四）持续节能减排。</w:t>
      </w:r>
      <w:r>
        <w:rPr>
          <w:rFonts w:hint="eastAsia" w:ascii="仿宋_GB2312" w:hAnsi="仿宋_GB2312" w:eastAsia="仿宋_GB2312" w:cs="仿宋_GB2312"/>
          <w:sz w:val="32"/>
          <w:szCs w:val="32"/>
          <w:lang w:val="en-US" w:eastAsia="zh-CN"/>
        </w:rPr>
        <w:t>秉承“低碳经济、绿色经济、循环经济”的发展理念，坚持将节能减排融入投资项目的建设、生产、经营、管理的全过程。加大力度推动现场节能减排措施的实施，在项目中广泛使用</w:t>
      </w:r>
      <w:r>
        <w:rPr>
          <w:rFonts w:hint="default" w:ascii="Times New Roman" w:hAnsi="Times New Roman" w:eastAsia="仿宋_GB2312" w:cs="Times New Roman"/>
          <w:sz w:val="32"/>
          <w:szCs w:val="32"/>
          <w:lang w:val="en-US" w:eastAsia="zh-CN"/>
        </w:rPr>
        <w:t>LED</w:t>
      </w:r>
      <w:r>
        <w:rPr>
          <w:rFonts w:hint="eastAsia" w:ascii="仿宋_GB2312" w:hAnsi="仿宋_GB2312" w:eastAsia="仿宋_GB2312" w:cs="仿宋_GB2312"/>
          <w:sz w:val="32"/>
          <w:szCs w:val="32"/>
          <w:lang w:val="en-US" w:eastAsia="zh-CN"/>
        </w:rPr>
        <w:t>节能照明，循环利用施工用水，减少资源消耗；采用自动喷淋系统，合理布局绿地及植物群落，建筑垃圾分类处理，有效控制现场粉尘、废气、废弃物、噪声、振动等对周围环境造成的污染和危害；运用“智慧工地”管理系统对人员、安全、环境等数据实时监控，提高绿色施工管理能力。持续推进节能减排工作，不断提升能源精细化管理能力，创新提高资源综合利用率，大力发展循环经济。</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default" w:ascii="黑体" w:hAnsi="黑体" w:eastAsia="黑体" w:cs="黑体"/>
          <w:color w:val="000000" w:themeColor="text1"/>
          <w:kern w:val="0"/>
          <w:sz w:val="32"/>
          <w:szCs w:val="32"/>
          <w:lang w:val="en-US" w:eastAsia="zh-CN" w:bidi="ar"/>
          <w14:textFill>
            <w14:solidFill>
              <w14:schemeClr w14:val="tx1"/>
            </w14:solidFill>
          </w14:textFill>
        </w:rPr>
      </w:pPr>
      <w:r>
        <w:rPr>
          <w:rFonts w:hint="eastAsia" w:ascii="黑体" w:hAnsi="黑体" w:eastAsia="黑体" w:cs="黑体"/>
          <w:color w:val="000000" w:themeColor="text1"/>
          <w:kern w:val="0"/>
          <w:sz w:val="32"/>
          <w:szCs w:val="32"/>
          <w:lang w:val="en-US" w:eastAsia="zh-CN" w:bidi="ar"/>
          <w14:textFill>
            <w14:solidFill>
              <w14:schemeClr w14:val="tx1"/>
            </w14:solidFill>
          </w14:textFill>
        </w:rPr>
        <w:t>五、严管厚爱，打造一流团队</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公司不断完善人才培养体系，优化绩效考核机制，激发人才活力，推动员工个人发展和企业发展的有机结合和相互促进。构建多层次、多渠道、针对性的培训体系，提升员工战略性思维、经营管控能力、专业化水平，为员工职业生涯发展积蓄</w:t>
      </w:r>
      <w:r>
        <w:rPr>
          <w:rFonts w:hint="default" w:ascii="仿宋_GB2312" w:hAnsi="仿宋_GB2312" w:eastAsia="仿宋_GB2312" w:cs="仿宋_GB2312"/>
          <w:sz w:val="32"/>
          <w:szCs w:val="32"/>
          <w:lang w:val="en-US" w:eastAsia="zh-CN"/>
        </w:rPr>
        <w:t>力量。</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（一）持续</w:t>
      </w:r>
      <w:r>
        <w:rPr>
          <w:rFonts w:hint="eastAsia" w:ascii="楷体_GB2312" w:hAnsi="楷体_GB2312" w:eastAsia="楷体_GB2312" w:cs="楷体_GB2312"/>
          <w:sz w:val="32"/>
          <w:szCs w:val="32"/>
          <w:lang w:val="en-US" w:eastAsia="zh-CN"/>
        </w:rPr>
        <w:t>推进人才强企战略。</w:t>
      </w:r>
      <w:r>
        <w:rPr>
          <w:rFonts w:hint="eastAsia" w:ascii="仿宋_GB2312" w:hAnsi="仿宋_GB2312" w:eastAsia="仿宋_GB2312" w:cs="仿宋_GB2312"/>
          <w:sz w:val="32"/>
          <w:szCs w:val="32"/>
          <w:lang w:val="en-US" w:eastAsia="zh-CN"/>
        </w:rPr>
        <w:t>加强各级领导班子建设，坚持做员工成长的促进者。建立分层分类的人才培养体系，成立“董子商学院”，为不同阶段、不同类型员工制定专项培训计划。定期举办线上+线下“财金大讲堂”，</w:t>
      </w:r>
      <w:r>
        <w:rPr>
          <w:rFonts w:hint="eastAsia" w:ascii="仿宋_GB2312" w:eastAsia="仿宋_GB2312"/>
          <w:sz w:val="32"/>
          <w:szCs w:val="32"/>
          <w:shd w:val="clear" w:color="auto" w:fill="FFFFFF"/>
        </w:rPr>
        <w:t>人人上讲台、当讲师</w:t>
      </w:r>
      <w:r>
        <w:rPr>
          <w:rFonts w:hint="eastAsia" w:ascii="仿宋_GB2312" w:eastAsia="仿宋_GB2312"/>
          <w:sz w:val="32"/>
          <w:szCs w:val="32"/>
          <w:shd w:val="clear" w:color="auto" w:fill="FFFFFF"/>
          <w:lang w:eastAsia="zh-CN"/>
        </w:rPr>
        <w:t>。</w:t>
      </w:r>
      <w:r>
        <w:rPr>
          <w:rFonts w:hint="eastAsia" w:ascii="仿宋_GB2312" w:eastAsia="仿宋_GB2312"/>
          <w:sz w:val="32"/>
          <w:szCs w:val="32"/>
          <w:shd w:val="clear" w:color="auto" w:fill="FFFFFF"/>
          <w:lang w:val="en-US" w:eastAsia="zh-CN"/>
        </w:rPr>
        <w:t>通过</w:t>
      </w:r>
      <w:r>
        <w:rPr>
          <w:rFonts w:hint="eastAsia" w:ascii="仿宋_GB2312" w:eastAsia="仿宋_GB2312"/>
          <w:sz w:val="32"/>
          <w:szCs w:val="32"/>
          <w:shd w:val="clear" w:color="auto" w:fill="FFFFFF"/>
          <w:lang w:eastAsia="zh-CN"/>
        </w:rPr>
        <w:t>“</w:t>
      </w:r>
      <w:r>
        <w:rPr>
          <w:rFonts w:hint="eastAsia" w:ascii="仿宋_GB2312" w:eastAsia="仿宋_GB2312"/>
          <w:sz w:val="32"/>
          <w:szCs w:val="32"/>
          <w:shd w:val="clear" w:color="auto" w:fill="FFFFFF"/>
          <w:lang w:val="en-US" w:eastAsia="zh-CN"/>
        </w:rPr>
        <w:t>读十本书</w:t>
      </w:r>
      <w:r>
        <w:rPr>
          <w:rFonts w:hint="eastAsia" w:ascii="仿宋_GB2312" w:eastAsia="仿宋_GB2312"/>
          <w:sz w:val="32"/>
          <w:szCs w:val="32"/>
          <w:shd w:val="clear" w:color="auto" w:fill="FFFFFF"/>
          <w:lang w:eastAsia="zh-CN"/>
        </w:rPr>
        <w:t>”</w:t>
      </w:r>
      <w:r>
        <w:rPr>
          <w:rFonts w:hint="eastAsia" w:ascii="仿宋_GB2312" w:eastAsia="仿宋_GB2312"/>
          <w:sz w:val="32"/>
          <w:szCs w:val="32"/>
          <w:shd w:val="clear" w:color="auto" w:fill="FFFFFF"/>
          <w:lang w:val="en-US" w:eastAsia="zh-CN"/>
        </w:rPr>
        <w:t>活动</w:t>
      </w:r>
      <w:r>
        <w:rPr>
          <w:rFonts w:hint="eastAsia" w:ascii="仿宋_GB2312" w:eastAsia="仿宋_GB2312"/>
          <w:sz w:val="32"/>
          <w:szCs w:val="32"/>
          <w:shd w:val="clear" w:color="auto" w:fill="FFFFFF"/>
          <w:lang w:eastAsia="zh-CN"/>
        </w:rPr>
        <w:t>，</w:t>
      </w:r>
      <w:r>
        <w:rPr>
          <w:rFonts w:hint="eastAsia" w:ascii="仿宋_GB2312" w:eastAsia="仿宋_GB2312"/>
          <w:sz w:val="32"/>
          <w:szCs w:val="32"/>
          <w:shd w:val="clear" w:color="auto" w:fill="FFFFFF"/>
          <w:lang w:val="en-US" w:eastAsia="zh-CN"/>
        </w:rPr>
        <w:t>人人读书、人人分享，提升思想境界、增长知识才干、强化履职能力。</w:t>
      </w:r>
      <w:r>
        <w:rPr>
          <w:rFonts w:hint="eastAsia" w:ascii="仿宋_GB2312" w:hAnsi="仿宋_GB2312" w:eastAsia="仿宋_GB2312" w:cs="仿宋_GB2312"/>
          <w:sz w:val="32"/>
          <w:szCs w:val="32"/>
          <w:lang w:val="en-US" w:eastAsia="zh-CN"/>
        </w:rPr>
        <w:t>通过有计划、分层次的培训，搭建纵向多途径、横向可交流的发展途径。</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color w:val="000000" w:themeColor="text1"/>
          <w:kern w:val="0"/>
          <w:sz w:val="32"/>
          <w:szCs w:val="32"/>
          <w:lang w:val="en-US" w:eastAsia="zh-CN" w:bidi="ar"/>
          <w14:textFill>
            <w14:solidFill>
              <w14:schemeClr w14:val="tx1"/>
            </w14:solidFill>
          </w14:textFill>
        </w:rPr>
        <w:t>（二）</w:t>
      </w:r>
      <w:r>
        <w:rPr>
          <w:rFonts w:hint="eastAsia" w:ascii="楷体_GB2312" w:hAnsi="楷体_GB2312" w:eastAsia="楷体_GB2312" w:cs="楷体_GB2312"/>
          <w:sz w:val="32"/>
          <w:szCs w:val="32"/>
          <w:lang w:val="en-US" w:eastAsia="zh-CN"/>
        </w:rPr>
        <w:t>尊重员工价值，注重员工能力开发。</w:t>
      </w:r>
      <w:r>
        <w:rPr>
          <w:rFonts w:hint="eastAsia" w:ascii="仿宋_GB2312" w:hAnsi="仿宋_GB2312" w:eastAsia="仿宋_GB2312" w:cs="仿宋_GB2312"/>
          <w:sz w:val="32"/>
          <w:szCs w:val="32"/>
          <w:lang w:val="en-US" w:eastAsia="zh-CN"/>
        </w:rPr>
        <w:t>为员工提供充足的发展空间和干事创业的舞台，指导各专业化公司结合自身实际分别实施培养项目。支持全集团员工成长成才，让“想干事、能干事、干成事”的员工“社会上有地位，经济上得实惠”。</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sz w:val="32"/>
          <w:szCs w:val="32"/>
          <w:lang w:val="en-US" w:eastAsia="zh-CN"/>
        </w:rPr>
        <w:t>（三）高度重视员工权益保障。</w:t>
      </w:r>
      <w:r>
        <w:rPr>
          <w:rFonts w:hint="eastAsia" w:ascii="仿宋_GB2312" w:hAnsi="仿宋_GB2312" w:eastAsia="仿宋_GB2312" w:cs="仿宋_GB2312"/>
          <w:sz w:val="32"/>
          <w:szCs w:val="32"/>
          <w:lang w:val="en-US" w:eastAsia="zh-CN"/>
        </w:rPr>
        <w:t>公司严格遵守《中华人民共和国劳动法》《中华人民共和国劳动合同法》等法律</w:t>
      </w:r>
      <w:r>
        <w:rPr>
          <w:rFonts w:hint="default" w:ascii="仿宋_GB2312" w:hAnsi="仿宋_GB2312" w:eastAsia="仿宋_GB2312" w:cs="仿宋_GB2312"/>
          <w:sz w:val="32"/>
          <w:szCs w:val="32"/>
          <w:lang w:val="en-US" w:eastAsia="zh-CN"/>
        </w:rPr>
        <w:t>法规，平等雇佣员工，为员工提供有竞争力的薪酬福利，并积极建立员工沟通渠道，切实保障每一位员工的权益。</w:t>
      </w:r>
      <w:r>
        <w:rPr>
          <w:rFonts w:hint="eastAsia" w:ascii="仿宋_GB2312" w:hAnsi="仿宋_GB2312" w:eastAsia="仿宋_GB2312" w:cs="仿宋_GB2312"/>
          <w:sz w:val="32"/>
          <w:szCs w:val="32"/>
          <w:lang w:val="en-US" w:eastAsia="zh-CN"/>
        </w:rPr>
        <w:t>创建安全、稳定工作环境，保障员工健康与安全。按时为每位员工送上生日祝福，组织拓展训练、青春诗会、诵读演讲比赛等活动，实施多样关爱项目，营造和谐工作氛围。</w:t>
      </w:r>
    </w:p>
    <w:p>
      <w:pPr>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br w:type="page"/>
      </w:r>
    </w:p>
    <w:p>
      <w:pPr>
        <w:pStyle w:val="2"/>
        <w:keepNext w:val="0"/>
        <w:keepLines w:val="0"/>
        <w:pageBreakBefore w:val="0"/>
        <w:widowControl w:val="0"/>
        <w:kinsoku/>
        <w:wordWrap/>
        <w:overflowPunct/>
        <w:topLinePunct w:val="0"/>
        <w:bidi w:val="0"/>
        <w:snapToGrid/>
        <w:spacing w:line="560" w:lineRule="exact"/>
        <w:textAlignment w:val="auto"/>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附件：</w:t>
      </w:r>
    </w:p>
    <w:p>
      <w:pPr>
        <w:pStyle w:val="2"/>
        <w:keepNext w:val="0"/>
        <w:keepLines w:val="0"/>
        <w:pageBreakBefore w:val="0"/>
        <w:widowControl w:val="0"/>
        <w:kinsoku/>
        <w:wordWrap/>
        <w:overflowPunct/>
        <w:topLinePunct w:val="0"/>
        <w:bidi w:val="0"/>
        <w:snapToGrid/>
        <w:spacing w:line="560" w:lineRule="exact"/>
        <w:textAlignment w:val="auto"/>
        <w:rPr>
          <w:rFonts w:hint="eastAsia" w:ascii="黑体" w:hAnsi="黑体" w:eastAsia="黑体" w:cs="黑体"/>
          <w:sz w:val="32"/>
          <w:szCs w:val="32"/>
          <w:lang w:val="en-US" w:eastAsia="zh-CN"/>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jc w:val="left"/>
        <w:textAlignment w:val="auto"/>
        <w:rPr>
          <w:rFonts w:hint="default" w:ascii="黑体" w:hAnsi="黑体" w:eastAsia="黑体" w:cs="黑体"/>
          <w:sz w:val="32"/>
          <w:szCs w:val="40"/>
          <w:lang w:val="en-US" w:eastAsia="zh-CN"/>
        </w:rPr>
      </w:pPr>
      <w:r>
        <w:rPr>
          <w:rFonts w:hint="eastAsia" w:ascii="黑体" w:hAnsi="黑体" w:eastAsia="黑体" w:cs="黑体"/>
          <w:sz w:val="32"/>
          <w:szCs w:val="40"/>
          <w:lang w:val="en-US" w:eastAsia="zh-CN"/>
        </w:rPr>
        <w:t>一、履行社会责任</w:t>
      </w:r>
    </w:p>
    <w:p>
      <w:pPr>
        <w:pStyle w:val="6"/>
        <w:numPr>
          <w:ilvl w:val="0"/>
          <w:numId w:val="0"/>
        </w:numPr>
        <w:ind w:leftChars="0"/>
        <w:jc w:val="center"/>
        <w:rPr>
          <w:rFonts w:hint="eastAsia" w:ascii="黑体" w:hAnsi="黑体" w:eastAsia="黑体" w:cs="黑体"/>
          <w:sz w:val="32"/>
          <w:szCs w:val="40"/>
          <w:lang w:val="en-US" w:eastAsia="zh-CN"/>
        </w:rPr>
      </w:pPr>
      <w:r>
        <w:rPr>
          <w:rFonts w:hint="default" w:ascii="黑体" w:hAnsi="黑体" w:eastAsia="黑体" w:cs="黑体"/>
          <w:sz w:val="32"/>
          <w:szCs w:val="40"/>
          <w:lang w:val="en-US" w:eastAsia="zh-CN"/>
        </w:rPr>
        <w:drawing>
          <wp:inline distT="0" distB="0" distL="114300" distR="114300">
            <wp:extent cx="4629785" cy="3087370"/>
            <wp:effectExtent l="0" t="0" r="18415" b="17780"/>
            <wp:docPr id="16" name="图片 16" descr="8a3f9ec442423d92f436df424146c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8a3f9ec442423d92f436df424146cb3"/>
                    <pic:cNvPicPr>
                      <a:picLocks noChangeAspect="1"/>
                    </pic:cNvPicPr>
                  </pic:nvPicPr>
                  <pic:blipFill>
                    <a:blip r:embed="rId7"/>
                    <a:stretch>
                      <a:fillRect/>
                    </a:stretch>
                  </pic:blipFill>
                  <pic:spPr>
                    <a:xfrm>
                      <a:off x="0" y="0"/>
                      <a:ext cx="4629785" cy="3087370"/>
                    </a:xfrm>
                    <a:prstGeom prst="rect">
                      <a:avLst/>
                    </a:prstGeom>
                  </pic:spPr>
                </pic:pic>
              </a:graphicData>
            </a:graphic>
          </wp:inline>
        </w:drawing>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60" w:lineRule="exact"/>
        <w:ind w:leftChars="0"/>
        <w:jc w:val="center"/>
        <w:textAlignment w:val="auto"/>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t>德州东站疫情防控</w:t>
      </w:r>
    </w:p>
    <w:p>
      <w:pPr>
        <w:pStyle w:val="6"/>
        <w:numPr>
          <w:ilvl w:val="0"/>
          <w:numId w:val="0"/>
        </w:numPr>
        <w:ind w:leftChars="0"/>
        <w:jc w:val="center"/>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drawing>
          <wp:inline distT="0" distB="0" distL="114300" distR="114300">
            <wp:extent cx="4744720" cy="3112135"/>
            <wp:effectExtent l="0" t="0" r="17780" b="12065"/>
            <wp:docPr id="39" name="图片 39" descr="a5c31d489e5200f5c9673230411d29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a5c31d489e5200f5c9673230411d29ef"/>
                    <pic:cNvPicPr>
                      <a:picLocks noChangeAspect="1"/>
                    </pic:cNvPicPr>
                  </pic:nvPicPr>
                  <pic:blipFill>
                    <a:blip r:embed="rId8"/>
                    <a:srcRect t="3730" r="1666" b="9717"/>
                    <a:stretch>
                      <a:fillRect/>
                    </a:stretch>
                  </pic:blipFill>
                  <pic:spPr>
                    <a:xfrm>
                      <a:off x="0" y="0"/>
                      <a:ext cx="4744720" cy="3112135"/>
                    </a:xfrm>
                    <a:prstGeom prst="rect">
                      <a:avLst/>
                    </a:prstGeom>
                  </pic:spPr>
                </pic:pic>
              </a:graphicData>
            </a:graphic>
          </wp:inline>
        </w:drawing>
      </w:r>
    </w:p>
    <w:p>
      <w:pPr>
        <w:pStyle w:val="6"/>
        <w:numPr>
          <w:ilvl w:val="0"/>
          <w:numId w:val="0"/>
        </w:numPr>
        <w:ind w:leftChars="0"/>
        <w:jc w:val="center"/>
        <w:rPr>
          <w:rFonts w:hint="default" w:ascii="黑体" w:hAnsi="黑体" w:eastAsia="黑体" w:cs="黑体"/>
          <w:sz w:val="32"/>
          <w:szCs w:val="40"/>
          <w:lang w:val="en-US" w:eastAsia="zh-CN"/>
        </w:rPr>
      </w:pPr>
      <w:r>
        <w:rPr>
          <w:rFonts w:hint="eastAsia" w:ascii="黑体" w:hAnsi="黑体" w:eastAsia="黑体" w:cs="黑体"/>
          <w:sz w:val="32"/>
          <w:szCs w:val="40"/>
          <w:lang w:val="en-US" w:eastAsia="zh-CN"/>
        </w:rPr>
        <w:t>无偿献血</w:t>
      </w:r>
      <w:r>
        <w:rPr>
          <w:rFonts w:hint="default" w:ascii="黑体" w:hAnsi="黑体" w:eastAsia="黑体" w:cs="黑体"/>
          <w:sz w:val="32"/>
          <w:szCs w:val="40"/>
          <w:lang w:val="en-US" w:eastAsia="zh-CN"/>
        </w:rPr>
        <w:drawing>
          <wp:inline distT="0" distB="0" distL="114300" distR="114300">
            <wp:extent cx="5632450" cy="3755390"/>
            <wp:effectExtent l="0" t="0" r="6350" b="16510"/>
            <wp:docPr id="19" name="图片 19" descr="4高速公路防控一线执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4高速公路防控一线执勤"/>
                    <pic:cNvPicPr>
                      <a:picLocks noChangeAspect="1"/>
                    </pic:cNvPicPr>
                  </pic:nvPicPr>
                  <pic:blipFill>
                    <a:blip r:embed="rId9"/>
                    <a:stretch>
                      <a:fillRect/>
                    </a:stretch>
                  </pic:blipFill>
                  <pic:spPr>
                    <a:xfrm>
                      <a:off x="0" y="0"/>
                      <a:ext cx="5632450" cy="3755390"/>
                    </a:xfrm>
                    <a:prstGeom prst="rect">
                      <a:avLst/>
                    </a:prstGeom>
                  </pic:spPr>
                </pic:pic>
              </a:graphicData>
            </a:graphic>
          </wp:inline>
        </w:drawing>
      </w:r>
    </w:p>
    <w:p>
      <w:pPr>
        <w:pStyle w:val="6"/>
        <w:numPr>
          <w:ilvl w:val="0"/>
          <w:numId w:val="0"/>
        </w:numPr>
        <w:ind w:leftChars="0"/>
        <w:jc w:val="center"/>
        <w:rPr>
          <w:rFonts w:hint="default" w:ascii="黑体" w:hAnsi="黑体" w:eastAsia="黑体" w:cs="黑体"/>
          <w:sz w:val="32"/>
          <w:szCs w:val="40"/>
          <w:lang w:val="en-US" w:eastAsia="zh-CN"/>
        </w:rPr>
      </w:pPr>
      <w:r>
        <w:rPr>
          <w:rFonts w:hint="eastAsia" w:ascii="黑体" w:hAnsi="黑体" w:eastAsia="黑体" w:cs="黑体"/>
          <w:sz w:val="32"/>
          <w:szCs w:val="40"/>
          <w:lang w:val="en-US" w:eastAsia="zh-CN"/>
        </w:rPr>
        <w:t>高速路口疫情防控</w:t>
      </w:r>
    </w:p>
    <w:p>
      <w:pPr>
        <w:pStyle w:val="6"/>
        <w:numPr>
          <w:ilvl w:val="0"/>
          <w:numId w:val="0"/>
        </w:numPr>
        <w:ind w:leftChars="0"/>
        <w:jc w:val="both"/>
        <w:rPr>
          <w:rFonts w:hint="eastAsia" w:eastAsiaTheme="minorEastAsia"/>
          <w:lang w:eastAsia="zh-CN"/>
        </w:rPr>
      </w:pPr>
      <w:r>
        <w:rPr>
          <w:rFonts w:hint="eastAsia" w:eastAsiaTheme="minorEastAsia"/>
          <w:lang w:eastAsia="zh-CN"/>
        </w:rPr>
        <w:drawing>
          <wp:inline distT="0" distB="0" distL="114300" distR="114300">
            <wp:extent cx="5756910" cy="3840480"/>
            <wp:effectExtent l="0" t="0" r="15240" b="7620"/>
            <wp:docPr id="40" name="图片 40" descr="dec992cd9366f912f893b603915c3e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dec992cd9366f912f893b603915c3ebf"/>
                    <pic:cNvPicPr>
                      <a:picLocks noChangeAspect="1"/>
                    </pic:cNvPicPr>
                  </pic:nvPicPr>
                  <pic:blipFill>
                    <a:blip r:embed="rId10"/>
                    <a:stretch>
                      <a:fillRect/>
                    </a:stretch>
                  </pic:blipFill>
                  <pic:spPr>
                    <a:xfrm>
                      <a:off x="0" y="0"/>
                      <a:ext cx="5756910" cy="3840480"/>
                    </a:xfrm>
                    <a:prstGeom prst="rect">
                      <a:avLst/>
                    </a:prstGeom>
                  </pic:spPr>
                </pic:pic>
              </a:graphicData>
            </a:graphic>
          </wp:inline>
        </w:drawing>
      </w:r>
    </w:p>
    <w:p>
      <w:pPr>
        <w:pStyle w:val="6"/>
        <w:numPr>
          <w:ilvl w:val="0"/>
          <w:numId w:val="0"/>
        </w:numPr>
        <w:ind w:leftChars="0"/>
        <w:jc w:val="center"/>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drawing>
          <wp:inline distT="0" distB="0" distL="114300" distR="114300">
            <wp:extent cx="5056505" cy="3369945"/>
            <wp:effectExtent l="0" t="0" r="10795" b="1905"/>
            <wp:docPr id="41" name="图片 41" descr="46755a90af9b1a3ef48cc6966d3d30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46755a90af9b1a3ef48cc6966d3d307c"/>
                    <pic:cNvPicPr>
                      <a:picLocks noChangeAspect="1"/>
                    </pic:cNvPicPr>
                  </pic:nvPicPr>
                  <pic:blipFill>
                    <a:blip r:embed="rId11"/>
                    <a:stretch>
                      <a:fillRect/>
                    </a:stretch>
                  </pic:blipFill>
                  <pic:spPr>
                    <a:xfrm>
                      <a:off x="0" y="0"/>
                      <a:ext cx="5056505" cy="3369945"/>
                    </a:xfrm>
                    <a:prstGeom prst="rect">
                      <a:avLst/>
                    </a:prstGeom>
                  </pic:spPr>
                </pic:pic>
              </a:graphicData>
            </a:graphic>
          </wp:inline>
        </w:drawing>
      </w:r>
    </w:p>
    <w:p>
      <w:pPr>
        <w:pStyle w:val="6"/>
        <w:numPr>
          <w:ilvl w:val="0"/>
          <w:numId w:val="0"/>
        </w:numPr>
        <w:ind w:leftChars="0"/>
        <w:jc w:val="center"/>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t>邹李社区服务</w:t>
      </w:r>
    </w:p>
    <w:p>
      <w:pPr>
        <w:pStyle w:val="6"/>
        <w:numPr>
          <w:ilvl w:val="0"/>
          <w:numId w:val="0"/>
        </w:numPr>
        <w:ind w:leftChars="0"/>
        <w:jc w:val="center"/>
        <w:rPr>
          <w:rFonts w:hint="eastAsia" w:ascii="仿宋_GB2312" w:hAnsi="仿宋_GB2312" w:eastAsia="仿宋_GB2312" w:cs="仿宋_GB2312"/>
          <w:bCs/>
          <w:color w:val="auto"/>
          <w:sz w:val="32"/>
          <w:szCs w:val="32"/>
          <w:lang w:val="en-US" w:eastAsia="zh-CN"/>
        </w:rPr>
      </w:pPr>
      <w:r>
        <w:rPr>
          <w:rFonts w:hint="eastAsia" w:ascii="仿宋_GB2312" w:hAnsi="仿宋_GB2312" w:eastAsia="仿宋_GB2312" w:cs="仿宋_GB2312"/>
          <w:bCs/>
          <w:color w:val="auto"/>
          <w:sz w:val="32"/>
          <w:szCs w:val="32"/>
          <w:lang w:val="en-US" w:eastAsia="zh-CN"/>
        </w:rPr>
        <w:drawing>
          <wp:inline distT="0" distB="0" distL="114300" distR="114300">
            <wp:extent cx="4995545" cy="3747135"/>
            <wp:effectExtent l="0" t="0" r="14605" b="5715"/>
            <wp:docPr id="32" name="图片 32" descr="d261e4a11a8fbf280938c9dfe1611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d261e4a11a8fbf280938c9dfe1611d8"/>
                    <pic:cNvPicPr>
                      <a:picLocks noChangeAspect="1"/>
                    </pic:cNvPicPr>
                  </pic:nvPicPr>
                  <pic:blipFill>
                    <a:blip r:embed="rId12"/>
                    <a:stretch>
                      <a:fillRect/>
                    </a:stretch>
                  </pic:blipFill>
                  <pic:spPr>
                    <a:xfrm>
                      <a:off x="0" y="0"/>
                      <a:ext cx="4995545" cy="3747135"/>
                    </a:xfrm>
                    <a:prstGeom prst="rect">
                      <a:avLst/>
                    </a:prstGeom>
                  </pic:spPr>
                </pic:pic>
              </a:graphicData>
            </a:graphic>
          </wp:inline>
        </w:drawing>
      </w:r>
    </w:p>
    <w:p>
      <w:pPr>
        <w:pStyle w:val="6"/>
        <w:numPr>
          <w:ilvl w:val="0"/>
          <w:numId w:val="0"/>
        </w:numPr>
        <w:ind w:leftChars="0"/>
        <w:jc w:val="center"/>
        <w:rPr>
          <w:rFonts w:hint="default" w:ascii="黑体" w:hAnsi="黑体" w:eastAsia="黑体" w:cs="黑体"/>
          <w:sz w:val="32"/>
          <w:szCs w:val="40"/>
          <w:lang w:val="en-US" w:eastAsia="zh-CN"/>
        </w:rPr>
      </w:pPr>
      <w:r>
        <w:rPr>
          <w:rFonts w:hint="eastAsia" w:ascii="黑体" w:hAnsi="黑体" w:eastAsia="黑体" w:cs="黑体"/>
          <w:sz w:val="32"/>
          <w:szCs w:val="40"/>
          <w:lang w:val="en-US" w:eastAsia="zh-CN"/>
        </w:rPr>
        <w:t>与秀山县百岁村结对扶贫</w:t>
      </w:r>
    </w:p>
    <w:p>
      <w:pPr>
        <w:pStyle w:val="6"/>
        <w:numPr>
          <w:ilvl w:val="0"/>
          <w:numId w:val="1"/>
        </w:numPr>
        <w:ind w:left="0" w:leftChars="0" w:firstLine="0" w:firstLineChars="0"/>
        <w:jc w:val="left"/>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t>集团荣誉</w:t>
      </w:r>
      <w:r>
        <w:rPr>
          <w:rFonts w:hint="default" w:ascii="黑体" w:hAnsi="黑体" w:eastAsia="黑体" w:cs="黑体"/>
          <w:sz w:val="32"/>
          <w:szCs w:val="40"/>
          <w:lang w:val="en-US" w:eastAsia="zh-CN"/>
        </w:rPr>
        <w:drawing>
          <wp:inline distT="0" distB="0" distL="114300" distR="114300">
            <wp:extent cx="5753100" cy="3624580"/>
            <wp:effectExtent l="0" t="0" r="0" b="13970"/>
            <wp:docPr id="12" name="图片 12" descr="微信图片_202009181026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微信图片_202009181026354"/>
                    <pic:cNvPicPr>
                      <a:picLocks noChangeAspect="1"/>
                    </pic:cNvPicPr>
                  </pic:nvPicPr>
                  <pic:blipFill>
                    <a:blip r:embed="rId13"/>
                    <a:stretch>
                      <a:fillRect/>
                    </a:stretch>
                  </pic:blipFill>
                  <pic:spPr>
                    <a:xfrm>
                      <a:off x="0" y="0"/>
                      <a:ext cx="5753100" cy="3624580"/>
                    </a:xfrm>
                    <a:prstGeom prst="rect">
                      <a:avLst/>
                    </a:prstGeom>
                  </pic:spPr>
                </pic:pic>
              </a:graphicData>
            </a:graphic>
          </wp:inline>
        </w:drawing>
      </w:r>
      <w:r>
        <w:rPr>
          <w:rFonts w:hint="default" w:ascii="黑体" w:hAnsi="黑体" w:eastAsia="黑体" w:cs="黑体"/>
          <w:sz w:val="32"/>
          <w:szCs w:val="40"/>
          <w:lang w:val="en-US" w:eastAsia="zh-CN"/>
        </w:rPr>
        <w:drawing>
          <wp:inline distT="0" distB="0" distL="114300" distR="114300">
            <wp:extent cx="5742305" cy="3828415"/>
            <wp:effectExtent l="0" t="0" r="10795" b="635"/>
            <wp:docPr id="25" name="图片 25" descr="DSC_8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DSC_8908"/>
                    <pic:cNvPicPr>
                      <a:picLocks noChangeAspect="1"/>
                    </pic:cNvPicPr>
                  </pic:nvPicPr>
                  <pic:blipFill>
                    <a:blip r:embed="rId14"/>
                    <a:stretch>
                      <a:fillRect/>
                    </a:stretch>
                  </pic:blipFill>
                  <pic:spPr>
                    <a:xfrm>
                      <a:off x="0" y="0"/>
                      <a:ext cx="5742305" cy="3828415"/>
                    </a:xfrm>
                    <a:prstGeom prst="rect">
                      <a:avLst/>
                    </a:prstGeom>
                  </pic:spPr>
                </pic:pic>
              </a:graphicData>
            </a:graphic>
          </wp:inline>
        </w:drawing>
      </w:r>
    </w:p>
    <w:p>
      <w:pPr>
        <w:pStyle w:val="6"/>
        <w:ind w:left="0" w:leftChars="0" w:firstLine="0" w:firstLineChars="0"/>
        <w:jc w:val="left"/>
        <w:rPr>
          <w:rFonts w:hint="default" w:ascii="黑体" w:hAnsi="黑体" w:eastAsia="黑体" w:cs="黑体"/>
          <w:sz w:val="32"/>
          <w:szCs w:val="40"/>
          <w:lang w:val="en-US" w:eastAsia="zh-CN"/>
        </w:rPr>
      </w:pPr>
      <w:r>
        <w:rPr>
          <w:rFonts w:hint="default" w:ascii="黑体" w:hAnsi="黑体" w:eastAsia="黑体" w:cs="黑体"/>
          <w:sz w:val="32"/>
          <w:szCs w:val="40"/>
          <w:lang w:val="en-US" w:eastAsia="zh-CN"/>
        </w:rPr>
        <w:drawing>
          <wp:inline distT="0" distB="0" distL="114300" distR="114300">
            <wp:extent cx="5723255" cy="3565525"/>
            <wp:effectExtent l="0" t="0" r="10795" b="15875"/>
            <wp:docPr id="11" name="图片 11" descr="微信图片_202009181026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微信图片_202009181026355"/>
                    <pic:cNvPicPr>
                      <a:picLocks noChangeAspect="1"/>
                    </pic:cNvPicPr>
                  </pic:nvPicPr>
                  <pic:blipFill>
                    <a:blip r:embed="rId15"/>
                    <a:stretch>
                      <a:fillRect/>
                    </a:stretch>
                  </pic:blipFill>
                  <pic:spPr>
                    <a:xfrm>
                      <a:off x="0" y="0"/>
                      <a:ext cx="5723255" cy="3565525"/>
                    </a:xfrm>
                    <a:prstGeom prst="rect">
                      <a:avLst/>
                    </a:prstGeom>
                  </pic:spPr>
                </pic:pic>
              </a:graphicData>
            </a:graphic>
          </wp:inline>
        </w:drawing>
      </w:r>
      <w:r>
        <w:rPr>
          <w:rFonts w:hint="default" w:ascii="黑体" w:hAnsi="黑体" w:eastAsia="黑体" w:cs="黑体"/>
          <w:sz w:val="32"/>
          <w:szCs w:val="40"/>
          <w:lang w:val="en-US" w:eastAsia="zh-CN"/>
        </w:rPr>
        <w:drawing>
          <wp:inline distT="0" distB="0" distL="114300" distR="114300">
            <wp:extent cx="5753100" cy="3653155"/>
            <wp:effectExtent l="0" t="0" r="0" b="4445"/>
            <wp:docPr id="15" name="图片 15" descr="微信图片_202009181026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微信图片_202009181026351"/>
                    <pic:cNvPicPr>
                      <a:picLocks noChangeAspect="1"/>
                    </pic:cNvPicPr>
                  </pic:nvPicPr>
                  <pic:blipFill>
                    <a:blip r:embed="rId16"/>
                    <a:stretch>
                      <a:fillRect/>
                    </a:stretch>
                  </pic:blipFill>
                  <pic:spPr>
                    <a:xfrm>
                      <a:off x="0" y="0"/>
                      <a:ext cx="5753100" cy="3653155"/>
                    </a:xfrm>
                    <a:prstGeom prst="rect">
                      <a:avLst/>
                    </a:prstGeom>
                  </pic:spPr>
                </pic:pic>
              </a:graphicData>
            </a:graphic>
          </wp:inline>
        </w:drawing>
      </w:r>
      <w:r>
        <w:rPr>
          <w:rFonts w:hint="default" w:ascii="黑体" w:hAnsi="黑体" w:eastAsia="黑体" w:cs="黑体"/>
          <w:sz w:val="32"/>
          <w:szCs w:val="40"/>
          <w:lang w:val="en-US" w:eastAsia="zh-CN"/>
        </w:rPr>
        <w:drawing>
          <wp:inline distT="0" distB="0" distL="114300" distR="114300">
            <wp:extent cx="5731510" cy="3988435"/>
            <wp:effectExtent l="0" t="0" r="2540" b="12065"/>
            <wp:docPr id="31" name="图片 31" descr="微信图片_202009181026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微信图片_202009181026356"/>
                    <pic:cNvPicPr>
                      <a:picLocks noChangeAspect="1"/>
                    </pic:cNvPicPr>
                  </pic:nvPicPr>
                  <pic:blipFill>
                    <a:blip r:embed="rId17"/>
                    <a:stretch>
                      <a:fillRect/>
                    </a:stretch>
                  </pic:blipFill>
                  <pic:spPr>
                    <a:xfrm>
                      <a:off x="0" y="0"/>
                      <a:ext cx="5731510" cy="3988435"/>
                    </a:xfrm>
                    <a:prstGeom prst="rect">
                      <a:avLst/>
                    </a:prstGeom>
                  </pic:spPr>
                </pic:pic>
              </a:graphicData>
            </a:graphic>
          </wp:inline>
        </w:drawing>
      </w:r>
      <w:r>
        <w:rPr>
          <w:rFonts w:hint="default" w:ascii="黑体" w:hAnsi="黑体" w:eastAsia="黑体" w:cs="黑体"/>
          <w:sz w:val="32"/>
          <w:szCs w:val="40"/>
          <w:lang w:val="en-US" w:eastAsia="zh-CN"/>
        </w:rPr>
        <w:drawing>
          <wp:inline distT="0" distB="0" distL="114300" distR="114300">
            <wp:extent cx="5742305" cy="3828415"/>
            <wp:effectExtent l="0" t="0" r="10795" b="635"/>
            <wp:docPr id="28" name="图片 28" descr="DSC_8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DSC_8903"/>
                    <pic:cNvPicPr>
                      <a:picLocks noChangeAspect="1"/>
                    </pic:cNvPicPr>
                  </pic:nvPicPr>
                  <pic:blipFill>
                    <a:blip r:embed="rId18"/>
                    <a:stretch>
                      <a:fillRect/>
                    </a:stretch>
                  </pic:blipFill>
                  <pic:spPr>
                    <a:xfrm>
                      <a:off x="0" y="0"/>
                      <a:ext cx="5742305" cy="3828415"/>
                    </a:xfrm>
                    <a:prstGeom prst="rect">
                      <a:avLst/>
                    </a:prstGeom>
                  </pic:spPr>
                </pic:pic>
              </a:graphicData>
            </a:graphic>
          </wp:inline>
        </w:drawing>
      </w:r>
      <w:r>
        <w:rPr>
          <w:rFonts w:hint="default" w:ascii="黑体" w:hAnsi="黑体" w:eastAsia="黑体" w:cs="黑体"/>
          <w:sz w:val="32"/>
          <w:szCs w:val="40"/>
          <w:lang w:val="en-US" w:eastAsia="zh-CN"/>
        </w:rPr>
        <w:drawing>
          <wp:inline distT="0" distB="0" distL="114300" distR="114300">
            <wp:extent cx="5742305" cy="3828415"/>
            <wp:effectExtent l="0" t="0" r="10795" b="635"/>
            <wp:docPr id="26" name="图片 26" descr="DSC_8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DSC_8907"/>
                    <pic:cNvPicPr>
                      <a:picLocks noChangeAspect="1"/>
                    </pic:cNvPicPr>
                  </pic:nvPicPr>
                  <pic:blipFill>
                    <a:blip r:embed="rId19"/>
                    <a:stretch>
                      <a:fillRect/>
                    </a:stretch>
                  </pic:blipFill>
                  <pic:spPr>
                    <a:xfrm>
                      <a:off x="0" y="0"/>
                      <a:ext cx="5742305" cy="3828415"/>
                    </a:xfrm>
                    <a:prstGeom prst="rect">
                      <a:avLst/>
                    </a:prstGeom>
                  </pic:spPr>
                </pic:pic>
              </a:graphicData>
            </a:graphic>
          </wp:inline>
        </w:drawing>
      </w:r>
      <w:r>
        <w:rPr>
          <w:rFonts w:hint="default" w:ascii="黑体" w:hAnsi="黑体" w:eastAsia="黑体" w:cs="黑体"/>
          <w:sz w:val="32"/>
          <w:szCs w:val="40"/>
          <w:lang w:val="en-US" w:eastAsia="zh-CN"/>
        </w:rPr>
        <w:drawing>
          <wp:inline distT="0" distB="0" distL="114300" distR="114300">
            <wp:extent cx="5742305" cy="3828415"/>
            <wp:effectExtent l="0" t="0" r="10795" b="635"/>
            <wp:docPr id="29" name="图片 29" descr="DSC_8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DSC_8901"/>
                    <pic:cNvPicPr>
                      <a:picLocks noChangeAspect="1"/>
                    </pic:cNvPicPr>
                  </pic:nvPicPr>
                  <pic:blipFill>
                    <a:blip r:embed="rId20"/>
                    <a:stretch>
                      <a:fillRect/>
                    </a:stretch>
                  </pic:blipFill>
                  <pic:spPr>
                    <a:xfrm>
                      <a:off x="0" y="0"/>
                      <a:ext cx="5742305" cy="3828415"/>
                    </a:xfrm>
                    <a:prstGeom prst="rect">
                      <a:avLst/>
                    </a:prstGeom>
                  </pic:spPr>
                </pic:pic>
              </a:graphicData>
            </a:graphic>
          </wp:inline>
        </w:drawing>
      </w:r>
      <w:r>
        <w:rPr>
          <w:rFonts w:hint="default" w:ascii="黑体" w:hAnsi="黑体" w:eastAsia="黑体" w:cs="黑体"/>
          <w:sz w:val="32"/>
          <w:szCs w:val="40"/>
          <w:lang w:val="en-US" w:eastAsia="zh-CN"/>
        </w:rPr>
        <w:drawing>
          <wp:inline distT="0" distB="0" distL="114300" distR="114300">
            <wp:extent cx="5753100" cy="3919220"/>
            <wp:effectExtent l="0" t="0" r="0" b="5080"/>
            <wp:docPr id="14" name="图片 14" descr="微信图片_202009181026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图片_202009181026352"/>
                    <pic:cNvPicPr>
                      <a:picLocks noChangeAspect="1"/>
                    </pic:cNvPicPr>
                  </pic:nvPicPr>
                  <pic:blipFill>
                    <a:blip r:embed="rId21"/>
                    <a:stretch>
                      <a:fillRect/>
                    </a:stretch>
                  </pic:blipFill>
                  <pic:spPr>
                    <a:xfrm>
                      <a:off x="0" y="0"/>
                      <a:ext cx="5753100" cy="3919220"/>
                    </a:xfrm>
                    <a:prstGeom prst="rect">
                      <a:avLst/>
                    </a:prstGeom>
                  </pic:spPr>
                </pic:pic>
              </a:graphicData>
            </a:graphic>
          </wp:inline>
        </w:drawing>
      </w:r>
    </w:p>
    <w:p>
      <w:pPr>
        <w:pStyle w:val="6"/>
        <w:ind w:left="0" w:leftChars="0" w:firstLine="0" w:firstLineChars="0"/>
        <w:jc w:val="left"/>
        <w:rPr>
          <w:rFonts w:hint="default" w:ascii="黑体" w:hAnsi="黑体" w:eastAsia="黑体" w:cs="黑体"/>
          <w:sz w:val="32"/>
          <w:szCs w:val="40"/>
          <w:lang w:val="en-US" w:eastAsia="zh-CN"/>
        </w:rPr>
      </w:pPr>
    </w:p>
    <w:p>
      <w:pPr>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t>三、主营业务板块</w:t>
      </w:r>
    </w:p>
    <w:p>
      <w:pPr>
        <w:pStyle w:val="6"/>
        <w:ind w:left="0" w:leftChars="0" w:firstLine="0" w:firstLineChars="0"/>
        <w:jc w:val="center"/>
        <w:rPr>
          <w:rFonts w:hint="eastAsia" w:ascii="黑体" w:hAnsi="黑体" w:eastAsia="黑体" w:cs="黑体"/>
          <w:sz w:val="32"/>
          <w:szCs w:val="40"/>
          <w:lang w:val="en-US" w:eastAsia="zh-CN"/>
        </w:rPr>
      </w:pPr>
      <w:r>
        <w:rPr>
          <w:rFonts w:hint="eastAsia" w:ascii="黑体" w:hAnsi="黑体" w:eastAsia="黑体" w:cs="黑体"/>
          <w:sz w:val="32"/>
          <w:szCs w:val="40"/>
          <w:lang w:eastAsia="zh-CN"/>
        </w:rPr>
        <w:drawing>
          <wp:anchor distT="0" distB="0" distL="114300" distR="114300" simplePos="0" relativeHeight="251659264" behindDoc="0" locked="0" layoutInCell="1" allowOverlap="1">
            <wp:simplePos x="0" y="0"/>
            <wp:positionH relativeFrom="column">
              <wp:posOffset>167005</wp:posOffset>
            </wp:positionH>
            <wp:positionV relativeFrom="paragraph">
              <wp:posOffset>341630</wp:posOffset>
            </wp:positionV>
            <wp:extent cx="5257800" cy="2269490"/>
            <wp:effectExtent l="0" t="0" r="0" b="16510"/>
            <wp:wrapSquare wrapText="bothSides"/>
            <wp:docPr id="1" name="图片 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3"/>
                    <pic:cNvPicPr>
                      <a:picLocks noChangeAspect="1"/>
                    </pic:cNvPicPr>
                  </pic:nvPicPr>
                  <pic:blipFill>
                    <a:blip r:embed="rId22"/>
                    <a:stretch>
                      <a:fillRect/>
                    </a:stretch>
                  </pic:blipFill>
                  <pic:spPr>
                    <a:xfrm>
                      <a:off x="0" y="0"/>
                      <a:ext cx="5257800" cy="2269490"/>
                    </a:xfrm>
                    <a:prstGeom prst="rect">
                      <a:avLst/>
                    </a:prstGeom>
                  </pic:spPr>
                </pic:pic>
              </a:graphicData>
            </a:graphic>
          </wp:anchor>
        </w:drawing>
      </w:r>
      <w:r>
        <w:rPr>
          <w:rFonts w:hint="eastAsia" w:ascii="黑体" w:hAnsi="黑体" w:eastAsia="黑体" w:cs="黑体"/>
          <w:sz w:val="32"/>
          <w:szCs w:val="40"/>
          <w:lang w:val="en-US" w:eastAsia="zh-CN"/>
        </w:rPr>
        <w:t>东部医疗中心项目</w:t>
      </w:r>
    </w:p>
    <w:p>
      <w:pPr>
        <w:pStyle w:val="6"/>
        <w:ind w:left="0" w:leftChars="0" w:firstLine="0" w:firstLineChars="0"/>
        <w:jc w:val="center"/>
        <w:rPr>
          <w:rFonts w:hint="eastAsia" w:ascii="黑体" w:hAnsi="黑体" w:eastAsia="黑体" w:cs="黑体"/>
          <w:sz w:val="32"/>
          <w:szCs w:val="40"/>
          <w:lang w:val="en-US" w:eastAsia="zh-CN"/>
        </w:rPr>
      </w:pPr>
    </w:p>
    <w:p>
      <w:pPr>
        <w:pStyle w:val="6"/>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jc w:val="center"/>
        <w:textAlignment w:val="auto"/>
        <w:rPr>
          <w:rFonts w:hint="eastAsia" w:ascii="黑体" w:hAnsi="黑体" w:eastAsia="黑体" w:cs="黑体"/>
          <w:sz w:val="32"/>
          <w:szCs w:val="40"/>
          <w:lang w:val="en-US" w:eastAsia="zh-CN"/>
        </w:rPr>
      </w:pPr>
    </w:p>
    <w:p>
      <w:pPr>
        <w:pStyle w:val="6"/>
        <w:ind w:left="0" w:leftChars="0" w:firstLine="0" w:firstLineChars="0"/>
        <w:jc w:val="center"/>
        <w:rPr>
          <w:rFonts w:hint="default" w:ascii="黑体" w:hAnsi="黑体" w:eastAsia="黑体" w:cs="黑体"/>
          <w:sz w:val="32"/>
          <w:szCs w:val="40"/>
          <w:lang w:val="en-US" w:eastAsia="zh-CN"/>
        </w:rPr>
      </w:pPr>
      <w:r>
        <w:rPr>
          <w:rFonts w:hint="default" w:ascii="黑体" w:hAnsi="黑体" w:eastAsia="黑体" w:cs="黑体"/>
          <w:sz w:val="32"/>
          <w:szCs w:val="40"/>
          <w:lang w:val="en-US" w:eastAsia="zh-CN"/>
        </w:rPr>
        <w:drawing>
          <wp:inline distT="0" distB="0" distL="114300" distR="114300">
            <wp:extent cx="5360670" cy="2419350"/>
            <wp:effectExtent l="0" t="0" r="11430" b="0"/>
            <wp:docPr id="4" name="图片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
                    <pic:cNvPicPr>
                      <a:picLocks noChangeAspect="1"/>
                    </pic:cNvPicPr>
                  </pic:nvPicPr>
                  <pic:blipFill>
                    <a:blip r:embed="rId23"/>
                    <a:stretch>
                      <a:fillRect/>
                    </a:stretch>
                  </pic:blipFill>
                  <pic:spPr>
                    <a:xfrm>
                      <a:off x="0" y="0"/>
                      <a:ext cx="5360670" cy="2419350"/>
                    </a:xfrm>
                    <a:prstGeom prst="rect">
                      <a:avLst/>
                    </a:prstGeom>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jc w:val="center"/>
        <w:textAlignment w:val="auto"/>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t>妇女儿童医院</w:t>
      </w:r>
    </w:p>
    <w:p>
      <w:pPr>
        <w:pStyle w:val="6"/>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jc w:val="center"/>
        <w:textAlignment w:val="auto"/>
        <w:rPr>
          <w:rFonts w:hint="eastAsia" w:ascii="黑体" w:hAnsi="黑体" w:eastAsia="黑体" w:cs="黑体"/>
          <w:sz w:val="32"/>
          <w:szCs w:val="40"/>
          <w:lang w:val="en-US" w:eastAsia="zh-CN"/>
        </w:rPr>
      </w:pPr>
    </w:p>
    <w:p>
      <w:pPr>
        <w:pStyle w:val="6"/>
        <w:ind w:left="0" w:leftChars="0" w:firstLine="0" w:firstLineChars="0"/>
        <w:jc w:val="center"/>
        <w:rPr>
          <w:rFonts w:hint="default" w:ascii="黑体" w:hAnsi="黑体" w:eastAsia="黑体" w:cs="黑体"/>
          <w:sz w:val="32"/>
          <w:szCs w:val="40"/>
          <w:lang w:val="en-US" w:eastAsia="zh-CN"/>
        </w:rPr>
      </w:pPr>
      <w:r>
        <w:rPr>
          <w:rFonts w:hint="default" w:ascii="黑体" w:hAnsi="黑体" w:eastAsia="黑体" w:cs="黑体"/>
          <w:sz w:val="32"/>
          <w:szCs w:val="40"/>
          <w:lang w:val="en-US" w:eastAsia="zh-CN"/>
        </w:rPr>
        <w:drawing>
          <wp:inline distT="0" distB="0" distL="114300" distR="114300">
            <wp:extent cx="5680710" cy="3886200"/>
            <wp:effectExtent l="0" t="0" r="15240" b="0"/>
            <wp:docPr id="24" name="图片 24" descr="新增无页码：市传染病中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新增无页码：市传染病中心"/>
                    <pic:cNvPicPr>
                      <a:picLocks noChangeAspect="1"/>
                    </pic:cNvPicPr>
                  </pic:nvPicPr>
                  <pic:blipFill>
                    <a:blip r:embed="rId24"/>
                    <a:stretch>
                      <a:fillRect/>
                    </a:stretch>
                  </pic:blipFill>
                  <pic:spPr>
                    <a:xfrm>
                      <a:off x="0" y="0"/>
                      <a:ext cx="5680710" cy="3886200"/>
                    </a:xfrm>
                    <a:prstGeom prst="rect">
                      <a:avLst/>
                    </a:prstGeom>
                  </pic:spPr>
                </pic:pic>
              </a:graphicData>
            </a:graphic>
          </wp:inline>
        </w:drawing>
      </w:r>
    </w:p>
    <w:p>
      <w:pPr>
        <w:pStyle w:val="6"/>
        <w:ind w:left="0" w:leftChars="0" w:firstLine="0" w:firstLineChars="0"/>
        <w:jc w:val="center"/>
        <w:rPr>
          <w:rFonts w:hint="default" w:ascii="黑体" w:hAnsi="黑体" w:eastAsia="黑体" w:cs="黑体"/>
          <w:sz w:val="32"/>
          <w:szCs w:val="40"/>
          <w:lang w:val="en-US" w:eastAsia="zh-CN"/>
        </w:rPr>
      </w:pPr>
      <w:r>
        <w:rPr>
          <w:rFonts w:hint="eastAsia" w:ascii="黑体" w:hAnsi="黑体" w:eastAsia="黑体" w:cs="黑体"/>
          <w:sz w:val="32"/>
          <w:szCs w:val="40"/>
          <w:lang w:val="en-US" w:eastAsia="zh-CN"/>
        </w:rPr>
        <w:t>市传染病中心</w:t>
      </w:r>
    </w:p>
    <w:p>
      <w:pPr>
        <w:pStyle w:val="6"/>
        <w:ind w:left="0" w:leftChars="0" w:firstLine="0" w:firstLineChars="0"/>
        <w:jc w:val="center"/>
        <w:rPr>
          <w:rFonts w:hint="default" w:ascii="黑体" w:hAnsi="黑体" w:eastAsia="黑体" w:cs="黑体"/>
          <w:sz w:val="32"/>
          <w:szCs w:val="40"/>
          <w:lang w:val="en-US" w:eastAsia="zh-CN"/>
        </w:rPr>
      </w:pPr>
      <w:r>
        <w:rPr>
          <w:rFonts w:hint="default" w:ascii="黑体" w:hAnsi="黑体" w:eastAsia="黑体" w:cs="黑体"/>
          <w:sz w:val="32"/>
          <w:szCs w:val="40"/>
          <w:lang w:val="en-US" w:eastAsia="zh-CN"/>
        </w:rPr>
        <w:drawing>
          <wp:inline distT="0" distB="0" distL="114300" distR="114300">
            <wp:extent cx="5450840" cy="2466340"/>
            <wp:effectExtent l="0" t="0" r="16510" b="10160"/>
            <wp:docPr id="3" name="图片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
                    <pic:cNvPicPr>
                      <a:picLocks noChangeAspect="1"/>
                    </pic:cNvPicPr>
                  </pic:nvPicPr>
                  <pic:blipFill>
                    <a:blip r:embed="rId25"/>
                    <a:stretch>
                      <a:fillRect/>
                    </a:stretch>
                  </pic:blipFill>
                  <pic:spPr>
                    <a:xfrm>
                      <a:off x="0" y="0"/>
                      <a:ext cx="5450840" cy="2466340"/>
                    </a:xfrm>
                    <a:prstGeom prst="rect">
                      <a:avLst/>
                    </a:prstGeom>
                  </pic:spPr>
                </pic:pic>
              </a:graphicData>
            </a:graphic>
          </wp:inline>
        </w:drawing>
      </w:r>
    </w:p>
    <w:p>
      <w:pPr>
        <w:pStyle w:val="6"/>
        <w:ind w:left="0" w:leftChars="0" w:firstLine="0" w:firstLineChars="0"/>
        <w:jc w:val="center"/>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t>高级师范学校</w:t>
      </w:r>
    </w:p>
    <w:p>
      <w:pPr>
        <w:pStyle w:val="6"/>
        <w:ind w:left="0" w:leftChars="0" w:firstLine="0" w:firstLineChars="0"/>
        <w:jc w:val="center"/>
        <w:rPr>
          <w:rFonts w:hint="eastAsia" w:ascii="黑体" w:hAnsi="黑体" w:eastAsia="黑体" w:cs="黑体"/>
          <w:sz w:val="32"/>
          <w:szCs w:val="40"/>
          <w:lang w:val="en-US" w:eastAsia="zh-CN"/>
        </w:rPr>
      </w:pPr>
    </w:p>
    <w:p>
      <w:pPr>
        <w:pStyle w:val="6"/>
        <w:ind w:left="0" w:leftChars="0" w:firstLine="0" w:firstLineChars="0"/>
        <w:jc w:val="center"/>
        <w:rPr>
          <w:rFonts w:hint="eastAsia" w:ascii="黑体" w:hAnsi="黑体" w:eastAsia="黑体" w:cs="黑体"/>
          <w:sz w:val="32"/>
          <w:szCs w:val="40"/>
          <w:lang w:val="en-US" w:eastAsia="zh-CN"/>
        </w:rPr>
      </w:pPr>
    </w:p>
    <w:p>
      <w:pPr>
        <w:pStyle w:val="6"/>
        <w:ind w:left="0" w:leftChars="0" w:firstLine="0" w:firstLineChars="0"/>
        <w:jc w:val="center"/>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drawing>
          <wp:inline distT="0" distB="0" distL="114300" distR="114300">
            <wp:extent cx="5749925" cy="2609850"/>
            <wp:effectExtent l="0" t="0" r="3175" b="0"/>
            <wp:docPr id="2" name="图片 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4"/>
                    <pic:cNvPicPr>
                      <a:picLocks noChangeAspect="1"/>
                    </pic:cNvPicPr>
                  </pic:nvPicPr>
                  <pic:blipFill>
                    <a:blip r:embed="rId26"/>
                    <a:stretch>
                      <a:fillRect/>
                    </a:stretch>
                  </pic:blipFill>
                  <pic:spPr>
                    <a:xfrm>
                      <a:off x="0" y="0"/>
                      <a:ext cx="5749925" cy="2609850"/>
                    </a:xfrm>
                    <a:prstGeom prst="rect">
                      <a:avLst/>
                    </a:prstGeom>
                  </pic:spPr>
                </pic:pic>
              </a:graphicData>
            </a:graphic>
          </wp:inline>
        </w:drawing>
      </w:r>
    </w:p>
    <w:p>
      <w:pPr>
        <w:pStyle w:val="6"/>
        <w:ind w:left="0" w:leftChars="0" w:firstLine="0" w:firstLineChars="0"/>
        <w:jc w:val="center"/>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t>特殊教育学校</w:t>
      </w:r>
    </w:p>
    <w:p>
      <w:pPr>
        <w:pStyle w:val="6"/>
        <w:ind w:left="0" w:leftChars="0" w:firstLine="0" w:firstLineChars="0"/>
        <w:jc w:val="center"/>
        <w:rPr>
          <w:rFonts w:hint="default" w:ascii="黑体" w:hAnsi="黑体" w:eastAsia="黑体" w:cs="黑体"/>
          <w:sz w:val="32"/>
          <w:szCs w:val="40"/>
          <w:lang w:val="en-US" w:eastAsia="zh-CN"/>
        </w:rPr>
      </w:pPr>
      <w:r>
        <w:rPr>
          <w:rFonts w:hint="default" w:ascii="黑体" w:hAnsi="黑体" w:eastAsia="黑体" w:cs="黑体"/>
          <w:sz w:val="32"/>
          <w:szCs w:val="40"/>
          <w:lang w:val="en-US" w:eastAsia="zh-CN"/>
        </w:rPr>
        <w:drawing>
          <wp:inline distT="0" distB="0" distL="114300" distR="114300">
            <wp:extent cx="5683885" cy="4262755"/>
            <wp:effectExtent l="0" t="0" r="12065" b="4445"/>
            <wp:docPr id="21" name="图片 21" descr="一中东校区扩建项目教学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一中东校区扩建项目教学楼"/>
                    <pic:cNvPicPr>
                      <a:picLocks noChangeAspect="1"/>
                    </pic:cNvPicPr>
                  </pic:nvPicPr>
                  <pic:blipFill>
                    <a:blip r:embed="rId27"/>
                    <a:stretch>
                      <a:fillRect/>
                    </a:stretch>
                  </pic:blipFill>
                  <pic:spPr>
                    <a:xfrm>
                      <a:off x="0" y="0"/>
                      <a:ext cx="5683885" cy="4262755"/>
                    </a:xfrm>
                    <a:prstGeom prst="rect">
                      <a:avLst/>
                    </a:prstGeom>
                  </pic:spPr>
                </pic:pic>
              </a:graphicData>
            </a:graphic>
          </wp:inline>
        </w:drawing>
      </w:r>
    </w:p>
    <w:p>
      <w:pPr>
        <w:pStyle w:val="6"/>
        <w:ind w:left="0" w:leftChars="0" w:firstLine="0" w:firstLineChars="0"/>
        <w:jc w:val="center"/>
        <w:rPr>
          <w:rFonts w:hint="default" w:ascii="黑体" w:hAnsi="黑体" w:eastAsia="黑体" w:cs="黑体"/>
          <w:sz w:val="32"/>
          <w:szCs w:val="40"/>
          <w:lang w:val="en-US" w:eastAsia="zh-CN"/>
        </w:rPr>
      </w:pPr>
      <w:r>
        <w:rPr>
          <w:rFonts w:hint="eastAsia" w:ascii="黑体" w:hAnsi="黑体" w:eastAsia="黑体" w:cs="黑体"/>
          <w:sz w:val="32"/>
          <w:szCs w:val="40"/>
          <w:lang w:val="en-US" w:eastAsia="zh-CN"/>
        </w:rPr>
        <w:t>一中东校区扩建项目</w:t>
      </w:r>
    </w:p>
    <w:p>
      <w:pPr>
        <w:pStyle w:val="6"/>
        <w:ind w:left="0" w:leftChars="0" w:firstLine="0" w:firstLineChars="0"/>
        <w:jc w:val="center"/>
        <w:rPr>
          <w:rFonts w:hint="default" w:ascii="黑体" w:hAnsi="黑体" w:eastAsia="黑体" w:cs="黑体"/>
          <w:sz w:val="32"/>
          <w:szCs w:val="40"/>
          <w:lang w:val="en-US" w:eastAsia="zh-CN"/>
        </w:rPr>
      </w:pPr>
      <w:r>
        <w:rPr>
          <w:rFonts w:hint="default" w:ascii="黑体" w:hAnsi="黑体" w:eastAsia="黑体" w:cs="黑体"/>
          <w:sz w:val="32"/>
          <w:szCs w:val="40"/>
          <w:lang w:val="en-US" w:eastAsia="zh-CN"/>
        </w:rPr>
        <w:drawing>
          <wp:inline distT="0" distB="0" distL="114300" distR="114300">
            <wp:extent cx="5746115" cy="2621915"/>
            <wp:effectExtent l="0" t="0" r="6985" b="6985"/>
            <wp:docPr id="9" name="图片 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7"/>
                    <pic:cNvPicPr>
                      <a:picLocks noChangeAspect="1"/>
                    </pic:cNvPicPr>
                  </pic:nvPicPr>
                  <pic:blipFill>
                    <a:blip r:embed="rId28"/>
                    <a:stretch>
                      <a:fillRect/>
                    </a:stretch>
                  </pic:blipFill>
                  <pic:spPr>
                    <a:xfrm>
                      <a:off x="0" y="0"/>
                      <a:ext cx="5746115" cy="2621915"/>
                    </a:xfrm>
                    <a:prstGeom prst="rect">
                      <a:avLst/>
                    </a:prstGeom>
                  </pic:spPr>
                </pic:pic>
              </a:graphicData>
            </a:graphic>
          </wp:inline>
        </w:drawing>
      </w:r>
    </w:p>
    <w:p>
      <w:pPr>
        <w:pStyle w:val="6"/>
        <w:ind w:left="0" w:leftChars="0" w:firstLine="0" w:firstLineChars="0"/>
        <w:jc w:val="center"/>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t>市级雨污分流改造</w:t>
      </w:r>
    </w:p>
    <w:p>
      <w:pPr>
        <w:pStyle w:val="6"/>
        <w:ind w:left="0" w:leftChars="0" w:firstLine="0" w:firstLineChars="0"/>
        <w:jc w:val="center"/>
        <w:rPr>
          <w:rFonts w:hint="eastAsia"/>
          <w:lang w:val="en-US" w:eastAsia="zh-CN"/>
        </w:rPr>
      </w:pPr>
      <w:r>
        <w:rPr>
          <w:rFonts w:hint="eastAsia"/>
          <w:lang w:val="en-US" w:eastAsia="zh-CN"/>
        </w:rPr>
        <w:drawing>
          <wp:inline distT="0" distB="0" distL="114300" distR="114300">
            <wp:extent cx="5378450" cy="2881630"/>
            <wp:effectExtent l="0" t="0" r="12700" b="13970"/>
            <wp:docPr id="20" name="图片 20" descr="01德州市污水处理厂尾水深度净化工程.t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01德州市污水处理厂尾水深度净化工程.tga"/>
                    <pic:cNvPicPr>
                      <a:picLocks noChangeAspect="1"/>
                    </pic:cNvPicPr>
                  </pic:nvPicPr>
                  <pic:blipFill>
                    <a:blip r:embed="rId29"/>
                    <a:stretch>
                      <a:fillRect/>
                    </a:stretch>
                  </pic:blipFill>
                  <pic:spPr>
                    <a:xfrm>
                      <a:off x="0" y="0"/>
                      <a:ext cx="5378450" cy="2881630"/>
                    </a:xfrm>
                    <a:prstGeom prst="rect">
                      <a:avLst/>
                    </a:prstGeom>
                  </pic:spPr>
                </pic:pic>
              </a:graphicData>
            </a:graphic>
          </wp:inline>
        </w:drawing>
      </w:r>
    </w:p>
    <w:p>
      <w:pPr>
        <w:pStyle w:val="6"/>
        <w:ind w:left="0" w:leftChars="0" w:firstLine="0" w:firstLineChars="0"/>
        <w:jc w:val="center"/>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t>德州市污水处理厂尾水深度净化工程</w:t>
      </w:r>
    </w:p>
    <w:p>
      <w:pPr>
        <w:pStyle w:val="6"/>
        <w:ind w:left="0" w:leftChars="0" w:firstLine="0" w:firstLineChars="0"/>
        <w:jc w:val="center"/>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drawing>
          <wp:inline distT="0" distB="0" distL="114300" distR="114300">
            <wp:extent cx="5638800" cy="3759200"/>
            <wp:effectExtent l="0" t="0" r="0" b="12700"/>
            <wp:docPr id="18" name="图片 18" descr="效果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效果图"/>
                    <pic:cNvPicPr>
                      <a:picLocks noChangeAspect="1"/>
                    </pic:cNvPicPr>
                  </pic:nvPicPr>
                  <pic:blipFill>
                    <a:blip r:embed="rId30"/>
                    <a:stretch>
                      <a:fillRect/>
                    </a:stretch>
                  </pic:blipFill>
                  <pic:spPr>
                    <a:xfrm>
                      <a:off x="0" y="0"/>
                      <a:ext cx="5638800" cy="3759200"/>
                    </a:xfrm>
                    <a:prstGeom prst="rect">
                      <a:avLst/>
                    </a:prstGeom>
                  </pic:spPr>
                </pic:pic>
              </a:graphicData>
            </a:graphic>
          </wp:inline>
        </w:drawing>
      </w:r>
    </w:p>
    <w:p>
      <w:pPr>
        <w:pStyle w:val="6"/>
        <w:ind w:left="0" w:leftChars="0" w:firstLine="0" w:firstLineChars="0"/>
        <w:jc w:val="center"/>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t>第三水厂改扩建项目</w:t>
      </w:r>
    </w:p>
    <w:p>
      <w:pPr>
        <w:pStyle w:val="6"/>
        <w:numPr>
          <w:ilvl w:val="0"/>
          <w:numId w:val="0"/>
        </w:numPr>
        <w:ind w:leftChars="0"/>
        <w:jc w:val="left"/>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drawing>
          <wp:inline distT="0" distB="0" distL="114300" distR="114300">
            <wp:extent cx="5742305" cy="3230245"/>
            <wp:effectExtent l="0" t="0" r="10795" b="8255"/>
            <wp:docPr id="48" name="图片 48" descr="35af33680e8a4c48964e1446bf3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35af33680e8a4c48964e1446bf34718"/>
                    <pic:cNvPicPr>
                      <a:picLocks noChangeAspect="1"/>
                    </pic:cNvPicPr>
                  </pic:nvPicPr>
                  <pic:blipFill>
                    <a:blip r:embed="rId31"/>
                    <a:stretch>
                      <a:fillRect/>
                    </a:stretch>
                  </pic:blipFill>
                  <pic:spPr>
                    <a:xfrm>
                      <a:off x="0" y="0"/>
                      <a:ext cx="5742305" cy="3230245"/>
                    </a:xfrm>
                    <a:prstGeom prst="rect">
                      <a:avLst/>
                    </a:prstGeom>
                  </pic:spPr>
                </pic:pic>
              </a:graphicData>
            </a:graphic>
          </wp:inline>
        </w:drawing>
      </w:r>
    </w:p>
    <w:p>
      <w:pPr>
        <w:pStyle w:val="6"/>
        <w:numPr>
          <w:ilvl w:val="0"/>
          <w:numId w:val="0"/>
        </w:numPr>
        <w:ind w:leftChars="0"/>
        <w:jc w:val="center"/>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t>智慧农业产业园</w:t>
      </w:r>
      <w:r>
        <w:rPr>
          <w:rFonts w:hint="eastAsia" w:ascii="黑体" w:hAnsi="黑体" w:eastAsia="黑体" w:cs="黑体"/>
          <w:sz w:val="32"/>
          <w:szCs w:val="40"/>
          <w:lang w:val="en-US" w:eastAsia="zh-CN"/>
        </w:rPr>
        <w:drawing>
          <wp:inline distT="0" distB="0" distL="114300" distR="114300">
            <wp:extent cx="5742305" cy="3230245"/>
            <wp:effectExtent l="0" t="0" r="10795" b="8255"/>
            <wp:docPr id="45" name="图片 45" descr="85a59fa88954f994369c68791236d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85a59fa88954f994369c68791236dec"/>
                    <pic:cNvPicPr>
                      <a:picLocks noChangeAspect="1"/>
                    </pic:cNvPicPr>
                  </pic:nvPicPr>
                  <pic:blipFill>
                    <a:blip r:embed="rId32"/>
                    <a:stretch>
                      <a:fillRect/>
                    </a:stretch>
                  </pic:blipFill>
                  <pic:spPr>
                    <a:xfrm>
                      <a:off x="0" y="0"/>
                      <a:ext cx="5742305" cy="3230245"/>
                    </a:xfrm>
                    <a:prstGeom prst="rect">
                      <a:avLst/>
                    </a:prstGeom>
                  </pic:spPr>
                </pic:pic>
              </a:graphicData>
            </a:graphic>
          </wp:inline>
        </w:drawing>
      </w:r>
    </w:p>
    <w:p>
      <w:pPr>
        <w:pStyle w:val="6"/>
        <w:numPr>
          <w:ilvl w:val="0"/>
          <w:numId w:val="0"/>
        </w:numPr>
        <w:jc w:val="center"/>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t>松果新能源装备产业园</w:t>
      </w:r>
      <w:r>
        <w:rPr>
          <w:rFonts w:hint="eastAsia" w:ascii="黑体" w:hAnsi="黑体" w:eastAsia="黑体" w:cs="黑体"/>
          <w:sz w:val="32"/>
          <w:szCs w:val="40"/>
          <w:lang w:val="en-US" w:eastAsia="zh-CN"/>
        </w:rPr>
        <w:drawing>
          <wp:inline distT="0" distB="0" distL="114300" distR="114300">
            <wp:extent cx="5742305" cy="3230245"/>
            <wp:effectExtent l="0" t="0" r="10795" b="8255"/>
            <wp:docPr id="46" name="图片 46" descr="6c6b39ae2b35555eea2924b1aa1ed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6c6b39ae2b35555eea2924b1aa1edf0"/>
                    <pic:cNvPicPr>
                      <a:picLocks noChangeAspect="1"/>
                    </pic:cNvPicPr>
                  </pic:nvPicPr>
                  <pic:blipFill>
                    <a:blip r:embed="rId33"/>
                    <a:stretch>
                      <a:fillRect/>
                    </a:stretch>
                  </pic:blipFill>
                  <pic:spPr>
                    <a:xfrm>
                      <a:off x="0" y="0"/>
                      <a:ext cx="5742305" cy="3230245"/>
                    </a:xfrm>
                    <a:prstGeom prst="rect">
                      <a:avLst/>
                    </a:prstGeom>
                  </pic:spPr>
                </pic:pic>
              </a:graphicData>
            </a:graphic>
          </wp:inline>
        </w:drawing>
      </w:r>
    </w:p>
    <w:p>
      <w:pPr>
        <w:pStyle w:val="6"/>
        <w:numPr>
          <w:ilvl w:val="0"/>
          <w:numId w:val="0"/>
        </w:numPr>
        <w:jc w:val="center"/>
        <w:rPr>
          <w:rFonts w:hint="default" w:ascii="黑体" w:hAnsi="黑体" w:eastAsia="黑体" w:cs="黑体"/>
          <w:sz w:val="32"/>
          <w:szCs w:val="40"/>
          <w:lang w:val="en-US" w:eastAsia="zh-CN"/>
        </w:rPr>
      </w:pPr>
      <w:r>
        <w:rPr>
          <w:rFonts w:hint="eastAsia" w:ascii="黑体" w:hAnsi="黑体" w:eastAsia="黑体" w:cs="黑体"/>
          <w:sz w:val="32"/>
          <w:szCs w:val="40"/>
          <w:lang w:val="en-US" w:eastAsia="zh-CN"/>
        </w:rPr>
        <w:t>宁津绿动能产业园</w:t>
      </w:r>
      <w:r>
        <w:rPr>
          <w:rFonts w:hint="default" w:ascii="黑体" w:hAnsi="黑体" w:eastAsia="黑体" w:cs="黑体"/>
          <w:sz w:val="32"/>
          <w:szCs w:val="40"/>
          <w:lang w:val="en-US" w:eastAsia="zh-CN"/>
        </w:rPr>
        <w:drawing>
          <wp:inline distT="0" distB="0" distL="114300" distR="114300">
            <wp:extent cx="5742305" cy="3230245"/>
            <wp:effectExtent l="0" t="0" r="10795" b="8255"/>
            <wp:docPr id="47" name="图片 47" descr="fa47b27988c865940a5ec1001f8d9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fa47b27988c865940a5ec1001f8d98d"/>
                    <pic:cNvPicPr>
                      <a:picLocks noChangeAspect="1"/>
                    </pic:cNvPicPr>
                  </pic:nvPicPr>
                  <pic:blipFill>
                    <a:blip r:embed="rId34"/>
                    <a:stretch>
                      <a:fillRect/>
                    </a:stretch>
                  </pic:blipFill>
                  <pic:spPr>
                    <a:xfrm>
                      <a:off x="0" y="0"/>
                      <a:ext cx="5742305" cy="3230245"/>
                    </a:xfrm>
                    <a:prstGeom prst="rect">
                      <a:avLst/>
                    </a:prstGeom>
                  </pic:spPr>
                </pic:pic>
              </a:graphicData>
            </a:graphic>
          </wp:inline>
        </w:drawing>
      </w:r>
    </w:p>
    <w:p>
      <w:pPr>
        <w:pStyle w:val="6"/>
        <w:numPr>
          <w:ilvl w:val="0"/>
          <w:numId w:val="0"/>
        </w:numPr>
        <w:jc w:val="center"/>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t>军供产业园</w:t>
      </w:r>
    </w:p>
    <w:p>
      <w:pPr>
        <w:pStyle w:val="6"/>
        <w:numPr>
          <w:ilvl w:val="0"/>
          <w:numId w:val="0"/>
        </w:numPr>
        <w:jc w:val="center"/>
        <w:rPr>
          <w:rFonts w:hint="eastAsia" w:ascii="黑体" w:hAnsi="黑体" w:eastAsia="黑体" w:cs="黑体"/>
          <w:sz w:val="32"/>
          <w:szCs w:val="40"/>
          <w:lang w:val="en-US" w:eastAsia="zh-CN"/>
        </w:rPr>
      </w:pPr>
    </w:p>
    <w:p>
      <w:pPr>
        <w:pStyle w:val="6"/>
        <w:numPr>
          <w:ilvl w:val="0"/>
          <w:numId w:val="0"/>
        </w:numPr>
        <w:jc w:val="center"/>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drawing>
          <wp:inline distT="0" distB="0" distL="114300" distR="114300">
            <wp:extent cx="5353050" cy="3568700"/>
            <wp:effectExtent l="0" t="0" r="0" b="12700"/>
            <wp:docPr id="33" name="图片 33" descr="粮仓仓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粮仓仓库"/>
                    <pic:cNvPicPr>
                      <a:picLocks noChangeAspect="1"/>
                    </pic:cNvPicPr>
                  </pic:nvPicPr>
                  <pic:blipFill>
                    <a:blip r:embed="rId35"/>
                    <a:stretch>
                      <a:fillRect/>
                    </a:stretch>
                  </pic:blipFill>
                  <pic:spPr>
                    <a:xfrm>
                      <a:off x="0" y="0"/>
                      <a:ext cx="5353050" cy="3568700"/>
                    </a:xfrm>
                    <a:prstGeom prst="rect">
                      <a:avLst/>
                    </a:prstGeom>
                  </pic:spPr>
                </pic:pic>
              </a:graphicData>
            </a:graphic>
          </wp:inline>
        </w:drawing>
      </w:r>
    </w:p>
    <w:p>
      <w:pPr>
        <w:pStyle w:val="6"/>
        <w:numPr>
          <w:ilvl w:val="0"/>
          <w:numId w:val="0"/>
        </w:numPr>
        <w:jc w:val="center"/>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t>粮仓仓库</w:t>
      </w:r>
    </w:p>
    <w:p>
      <w:pPr>
        <w:pStyle w:val="6"/>
        <w:numPr>
          <w:ilvl w:val="0"/>
          <w:numId w:val="0"/>
        </w:numPr>
        <w:jc w:val="center"/>
        <w:rPr>
          <w:rFonts w:hint="default" w:ascii="黑体" w:hAnsi="黑体" w:eastAsia="黑体" w:cs="黑体"/>
          <w:sz w:val="32"/>
          <w:szCs w:val="40"/>
          <w:lang w:val="en-US" w:eastAsia="zh-CN"/>
        </w:rPr>
      </w:pPr>
      <w:r>
        <w:rPr>
          <w:rFonts w:hint="default" w:ascii="黑体" w:hAnsi="黑体" w:eastAsia="黑体" w:cs="黑体"/>
          <w:sz w:val="32"/>
          <w:szCs w:val="40"/>
          <w:lang w:val="en-US" w:eastAsia="zh-CN"/>
        </w:rPr>
        <w:drawing>
          <wp:inline distT="0" distB="0" distL="114300" distR="114300">
            <wp:extent cx="5166360" cy="3444875"/>
            <wp:effectExtent l="0" t="0" r="15240" b="3175"/>
            <wp:docPr id="35" name="图片 35" descr="微信图片_20201103094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微信图片_202011030944145"/>
                    <pic:cNvPicPr>
                      <a:picLocks noChangeAspect="1"/>
                    </pic:cNvPicPr>
                  </pic:nvPicPr>
                  <pic:blipFill>
                    <a:blip r:embed="rId36"/>
                    <a:stretch>
                      <a:fillRect/>
                    </a:stretch>
                  </pic:blipFill>
                  <pic:spPr>
                    <a:xfrm>
                      <a:off x="0" y="0"/>
                      <a:ext cx="5166360" cy="3444875"/>
                    </a:xfrm>
                    <a:prstGeom prst="rect">
                      <a:avLst/>
                    </a:prstGeom>
                  </pic:spPr>
                </pic:pic>
              </a:graphicData>
            </a:graphic>
          </wp:inline>
        </w:drawing>
      </w:r>
    </w:p>
    <w:p>
      <w:pPr>
        <w:pStyle w:val="6"/>
        <w:numPr>
          <w:ilvl w:val="0"/>
          <w:numId w:val="0"/>
        </w:numPr>
        <w:jc w:val="center"/>
        <w:rPr>
          <w:rFonts w:hint="default" w:ascii="黑体" w:hAnsi="黑体" w:eastAsia="黑体" w:cs="黑体"/>
          <w:sz w:val="32"/>
          <w:szCs w:val="40"/>
          <w:lang w:val="en-US" w:eastAsia="zh-CN"/>
        </w:rPr>
      </w:pPr>
      <w:r>
        <w:rPr>
          <w:rFonts w:hint="eastAsia" w:ascii="黑体" w:hAnsi="黑体" w:eastAsia="黑体" w:cs="黑体"/>
          <w:sz w:val="32"/>
          <w:szCs w:val="40"/>
          <w:lang w:val="en-US" w:eastAsia="zh-CN"/>
        </w:rPr>
        <w:t>供水抢修</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jc w:val="both"/>
        <w:textAlignment w:val="auto"/>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t>四、团队建设</w:t>
      </w:r>
    </w:p>
    <w:p>
      <w:pPr>
        <w:pStyle w:val="6"/>
        <w:numPr>
          <w:ilvl w:val="0"/>
          <w:numId w:val="0"/>
        </w:numPr>
        <w:ind w:leftChars="0"/>
        <w:jc w:val="center"/>
        <w:rPr>
          <w:rFonts w:hint="eastAsia" w:eastAsiaTheme="minorEastAsia"/>
          <w:lang w:eastAsia="zh-CN"/>
        </w:rPr>
      </w:pPr>
      <w:r>
        <w:rPr>
          <w:rFonts w:hint="eastAsia" w:eastAsiaTheme="minorEastAsia"/>
          <w:lang w:eastAsia="zh-CN"/>
        </w:rPr>
        <w:drawing>
          <wp:inline distT="0" distB="0" distL="114300" distR="114300">
            <wp:extent cx="5501640" cy="3306445"/>
            <wp:effectExtent l="0" t="0" r="3810" b="8255"/>
            <wp:docPr id="43" name="图片 43" descr="c15074da0604de1309f17788e3f0bc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15074da0604de1309f17788e3f0bcc8"/>
                    <pic:cNvPicPr>
                      <a:picLocks noChangeAspect="1"/>
                    </pic:cNvPicPr>
                  </pic:nvPicPr>
                  <pic:blipFill>
                    <a:blip r:embed="rId37"/>
                    <a:srcRect t="10900" r="1016"/>
                    <a:stretch>
                      <a:fillRect/>
                    </a:stretch>
                  </pic:blipFill>
                  <pic:spPr>
                    <a:xfrm>
                      <a:off x="0" y="0"/>
                      <a:ext cx="5501640" cy="3306445"/>
                    </a:xfrm>
                    <a:prstGeom prst="rect">
                      <a:avLst/>
                    </a:prstGeom>
                  </pic:spPr>
                </pic:pic>
              </a:graphicData>
            </a:graphic>
          </wp:inline>
        </w:drawing>
      </w:r>
    </w:p>
    <w:p>
      <w:pPr>
        <w:pStyle w:val="6"/>
        <w:numPr>
          <w:ilvl w:val="0"/>
          <w:numId w:val="0"/>
        </w:numPr>
        <w:ind w:leftChars="0"/>
        <w:jc w:val="center"/>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drawing>
          <wp:anchor distT="0" distB="0" distL="114300" distR="114300" simplePos="0" relativeHeight="251660288" behindDoc="1" locked="0" layoutInCell="1" allowOverlap="1">
            <wp:simplePos x="0" y="0"/>
            <wp:positionH relativeFrom="column">
              <wp:posOffset>263525</wp:posOffset>
            </wp:positionH>
            <wp:positionV relativeFrom="paragraph">
              <wp:posOffset>341630</wp:posOffset>
            </wp:positionV>
            <wp:extent cx="5326380" cy="3550920"/>
            <wp:effectExtent l="0" t="0" r="64770" b="49530"/>
            <wp:wrapTight wrapText="bothSides">
              <wp:wrapPolygon>
                <wp:start x="0" y="0"/>
                <wp:lineTo x="0" y="21438"/>
                <wp:lineTo x="21554" y="21438"/>
                <wp:lineTo x="21554" y="0"/>
                <wp:lineTo x="0" y="0"/>
              </wp:wrapPolygon>
            </wp:wrapTight>
            <wp:docPr id="13" name="图片 13" descr="DSC_038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SC_038711"/>
                    <pic:cNvPicPr>
                      <a:picLocks noChangeAspect="1"/>
                    </pic:cNvPicPr>
                  </pic:nvPicPr>
                  <pic:blipFill>
                    <a:blip r:embed="rId38"/>
                    <a:stretch>
                      <a:fillRect/>
                    </a:stretch>
                  </pic:blipFill>
                  <pic:spPr>
                    <a:xfrm>
                      <a:off x="0" y="0"/>
                      <a:ext cx="5326380" cy="3550920"/>
                    </a:xfrm>
                    <a:prstGeom prst="rect">
                      <a:avLst/>
                    </a:prstGeom>
                  </pic:spPr>
                </pic:pic>
              </a:graphicData>
            </a:graphic>
          </wp:anchor>
        </w:drawing>
      </w:r>
      <w:r>
        <w:rPr>
          <w:rFonts w:hint="eastAsia" w:ascii="黑体" w:hAnsi="黑体" w:eastAsia="黑体" w:cs="黑体"/>
          <w:sz w:val="32"/>
          <w:szCs w:val="40"/>
          <w:lang w:val="en-US" w:eastAsia="zh-CN"/>
        </w:rPr>
        <w:t>财金大讲堂</w:t>
      </w:r>
    </w:p>
    <w:p>
      <w:pPr>
        <w:pStyle w:val="6"/>
        <w:numPr>
          <w:ilvl w:val="0"/>
          <w:numId w:val="0"/>
        </w:numPr>
        <w:ind w:leftChars="0"/>
        <w:jc w:val="center"/>
        <w:rPr>
          <w:rFonts w:hint="eastAsia" w:ascii="黑体" w:hAnsi="黑体" w:eastAsia="黑体" w:cs="黑体"/>
          <w:sz w:val="32"/>
          <w:szCs w:val="40"/>
          <w:lang w:val="en-US" w:eastAsia="zh-CN"/>
        </w:rPr>
      </w:pPr>
    </w:p>
    <w:p>
      <w:pPr>
        <w:pStyle w:val="6"/>
        <w:numPr>
          <w:ilvl w:val="0"/>
          <w:numId w:val="0"/>
        </w:numPr>
        <w:ind w:leftChars="0"/>
        <w:jc w:val="center"/>
        <w:rPr>
          <w:rFonts w:hint="eastAsia" w:ascii="黑体" w:hAnsi="黑体" w:eastAsia="黑体" w:cs="黑体"/>
          <w:sz w:val="32"/>
          <w:szCs w:val="40"/>
          <w:lang w:val="en-US" w:eastAsia="zh-CN"/>
        </w:rPr>
      </w:pPr>
    </w:p>
    <w:p>
      <w:pPr>
        <w:pStyle w:val="6"/>
        <w:numPr>
          <w:ilvl w:val="0"/>
          <w:numId w:val="0"/>
        </w:numPr>
        <w:ind w:leftChars="0"/>
        <w:jc w:val="center"/>
        <w:rPr>
          <w:rFonts w:hint="eastAsia" w:ascii="黑体" w:hAnsi="黑体" w:eastAsia="黑体" w:cs="黑体"/>
          <w:sz w:val="32"/>
          <w:szCs w:val="40"/>
          <w:lang w:val="en-US" w:eastAsia="zh-CN"/>
        </w:rPr>
      </w:pPr>
    </w:p>
    <w:p>
      <w:pPr>
        <w:pStyle w:val="6"/>
        <w:numPr>
          <w:ilvl w:val="0"/>
          <w:numId w:val="0"/>
        </w:numPr>
        <w:ind w:leftChars="0"/>
        <w:jc w:val="center"/>
        <w:rPr>
          <w:rFonts w:hint="eastAsia" w:ascii="黑体" w:hAnsi="黑体" w:eastAsia="黑体" w:cs="黑体"/>
          <w:sz w:val="32"/>
          <w:szCs w:val="40"/>
          <w:lang w:val="en-US" w:eastAsia="zh-CN"/>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jc w:val="center"/>
        <w:textAlignment w:val="auto"/>
        <w:rPr>
          <w:rFonts w:hint="default" w:ascii="黑体" w:hAnsi="黑体" w:eastAsia="黑体" w:cs="黑体"/>
          <w:sz w:val="32"/>
          <w:szCs w:val="40"/>
          <w:lang w:val="en-US" w:eastAsia="zh-CN"/>
        </w:rPr>
      </w:pPr>
      <w:r>
        <w:rPr>
          <w:rFonts w:hint="eastAsia" w:ascii="黑体" w:hAnsi="黑体" w:eastAsia="黑体" w:cs="黑体"/>
          <w:sz w:val="32"/>
          <w:szCs w:val="40"/>
          <w:lang w:val="en-US" w:eastAsia="zh-CN"/>
        </w:rPr>
        <w:t>青春诗会选拔</w:t>
      </w:r>
    </w:p>
    <w:p>
      <w:pPr>
        <w:pStyle w:val="6"/>
        <w:numPr>
          <w:ilvl w:val="0"/>
          <w:numId w:val="0"/>
        </w:numPr>
        <w:ind w:leftChars="0"/>
        <w:jc w:val="center"/>
        <w:rPr>
          <w:rFonts w:hint="eastAsia" w:eastAsiaTheme="minorEastAsia"/>
          <w:lang w:eastAsia="zh-CN"/>
        </w:rPr>
      </w:pPr>
      <w:r>
        <w:rPr>
          <w:rFonts w:hint="eastAsia" w:eastAsiaTheme="minorEastAsia"/>
          <w:lang w:eastAsia="zh-CN"/>
        </w:rPr>
        <w:drawing>
          <wp:inline distT="0" distB="0" distL="114300" distR="114300">
            <wp:extent cx="5753100" cy="3832860"/>
            <wp:effectExtent l="0" t="0" r="0" b="15240"/>
            <wp:docPr id="44" name="图片 44" descr="04e9087418400f2d9f48c5f0c7118b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04e9087418400f2d9f48c5f0c7118b74"/>
                    <pic:cNvPicPr>
                      <a:picLocks noChangeAspect="1"/>
                    </pic:cNvPicPr>
                  </pic:nvPicPr>
                  <pic:blipFill>
                    <a:blip r:embed="rId39"/>
                    <a:stretch>
                      <a:fillRect/>
                    </a:stretch>
                  </pic:blipFill>
                  <pic:spPr>
                    <a:xfrm>
                      <a:off x="0" y="0"/>
                      <a:ext cx="5753100" cy="3832860"/>
                    </a:xfrm>
                    <a:prstGeom prst="rect">
                      <a:avLst/>
                    </a:prstGeom>
                  </pic:spPr>
                </pic:pic>
              </a:graphicData>
            </a:graphic>
          </wp:inline>
        </w:drawing>
      </w:r>
      <w:r>
        <w:rPr>
          <w:rFonts w:hint="eastAsia" w:eastAsiaTheme="minorEastAsia"/>
          <w:lang w:eastAsia="zh-CN"/>
        </w:rPr>
        <w:drawing>
          <wp:inline distT="0" distB="0" distL="114300" distR="114300">
            <wp:extent cx="5784215" cy="3856355"/>
            <wp:effectExtent l="0" t="0" r="6985" b="10795"/>
            <wp:docPr id="27" name="图片 27" descr="AH2A34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AH2A34717"/>
                    <pic:cNvPicPr>
                      <a:picLocks noChangeAspect="1"/>
                    </pic:cNvPicPr>
                  </pic:nvPicPr>
                  <pic:blipFill>
                    <a:blip r:embed="rId40"/>
                    <a:stretch>
                      <a:fillRect/>
                    </a:stretch>
                  </pic:blipFill>
                  <pic:spPr>
                    <a:xfrm>
                      <a:off x="0" y="0"/>
                      <a:ext cx="5784215" cy="3856355"/>
                    </a:xfrm>
                    <a:prstGeom prst="rect">
                      <a:avLst/>
                    </a:prstGeom>
                  </pic:spPr>
                </pic:pic>
              </a:graphicData>
            </a:graphic>
          </wp:inline>
        </w:drawing>
      </w:r>
    </w:p>
    <w:p>
      <w:pPr>
        <w:pStyle w:val="6"/>
        <w:numPr>
          <w:ilvl w:val="0"/>
          <w:numId w:val="0"/>
        </w:numPr>
        <w:ind w:leftChars="0"/>
        <w:jc w:val="center"/>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t>董子商学院</w:t>
      </w:r>
      <w:r>
        <w:rPr>
          <w:rFonts w:hint="eastAsia" w:ascii="黑体" w:hAnsi="黑体" w:eastAsia="黑体" w:cs="黑体"/>
          <w:sz w:val="32"/>
          <w:szCs w:val="40"/>
          <w:lang w:val="en-US" w:eastAsia="zh-CN"/>
        </w:rPr>
        <w:drawing>
          <wp:inline distT="0" distB="0" distL="114300" distR="114300">
            <wp:extent cx="5404485" cy="3603625"/>
            <wp:effectExtent l="0" t="0" r="5715" b="15875"/>
            <wp:docPr id="37" name="图片 37" descr="财金集团举办“三亮一争”竞赛暨水务集团第六届青工技能比武大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财金集团举办“三亮一争”竞赛暨水务集团第六届青工技能比武大赛"/>
                    <pic:cNvPicPr>
                      <a:picLocks noChangeAspect="1"/>
                    </pic:cNvPicPr>
                  </pic:nvPicPr>
                  <pic:blipFill>
                    <a:blip r:embed="rId41"/>
                    <a:stretch>
                      <a:fillRect/>
                    </a:stretch>
                  </pic:blipFill>
                  <pic:spPr>
                    <a:xfrm>
                      <a:off x="0" y="0"/>
                      <a:ext cx="5404485" cy="3603625"/>
                    </a:xfrm>
                    <a:prstGeom prst="rect">
                      <a:avLst/>
                    </a:prstGeom>
                  </pic:spPr>
                </pic:pic>
              </a:graphicData>
            </a:graphic>
          </wp:inline>
        </w:drawing>
      </w:r>
    </w:p>
    <w:p>
      <w:pPr>
        <w:pStyle w:val="6"/>
        <w:numPr>
          <w:ilvl w:val="0"/>
          <w:numId w:val="0"/>
        </w:numPr>
        <w:ind w:leftChars="0"/>
        <w:jc w:val="center"/>
        <w:rPr>
          <w:rFonts w:hint="default" w:ascii="黑体" w:hAnsi="黑体" w:eastAsia="黑体" w:cs="黑体"/>
          <w:sz w:val="32"/>
          <w:szCs w:val="40"/>
          <w:lang w:val="en-US" w:eastAsia="zh-CN"/>
        </w:rPr>
      </w:pPr>
      <w:r>
        <w:rPr>
          <w:rFonts w:hint="eastAsia" w:ascii="黑体" w:hAnsi="黑体" w:eastAsia="黑体" w:cs="黑体"/>
          <w:sz w:val="32"/>
          <w:szCs w:val="40"/>
          <w:lang w:val="en-US" w:eastAsia="zh-CN"/>
        </w:rPr>
        <w:t>三亮一争竞赛</w:t>
      </w:r>
    </w:p>
    <w:p>
      <w:pPr>
        <w:pStyle w:val="6"/>
        <w:numPr>
          <w:ilvl w:val="0"/>
          <w:numId w:val="0"/>
        </w:numPr>
        <w:ind w:leftChars="0"/>
        <w:jc w:val="center"/>
        <w:rPr>
          <w:rFonts w:hint="default" w:ascii="黑体" w:hAnsi="黑体" w:eastAsia="黑体" w:cs="黑体"/>
          <w:b/>
          <w:bCs/>
          <w:sz w:val="32"/>
          <w:szCs w:val="40"/>
          <w:lang w:val="en-US" w:eastAsia="zh-CN"/>
        </w:rPr>
      </w:pPr>
      <w:r>
        <w:rPr>
          <w:rFonts w:hint="default" w:ascii="黑体" w:hAnsi="黑体" w:eastAsia="黑体" w:cs="黑体"/>
          <w:b/>
          <w:bCs/>
          <w:sz w:val="32"/>
          <w:szCs w:val="40"/>
          <w:lang w:val="en-US" w:eastAsia="zh-CN"/>
        </w:rPr>
        <w:drawing>
          <wp:inline distT="0" distB="0" distL="114300" distR="114300">
            <wp:extent cx="5337810" cy="3558540"/>
            <wp:effectExtent l="0" t="0" r="15240" b="3810"/>
            <wp:docPr id="36" name="图片 36" descr="IMG_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2820"/>
                    <pic:cNvPicPr>
                      <a:picLocks noChangeAspect="1"/>
                    </pic:cNvPicPr>
                  </pic:nvPicPr>
                  <pic:blipFill>
                    <a:blip r:embed="rId42"/>
                    <a:stretch>
                      <a:fillRect/>
                    </a:stretch>
                  </pic:blipFill>
                  <pic:spPr>
                    <a:xfrm>
                      <a:off x="0" y="0"/>
                      <a:ext cx="5337810" cy="3558540"/>
                    </a:xfrm>
                    <a:prstGeom prst="rect">
                      <a:avLst/>
                    </a:prstGeom>
                  </pic:spPr>
                </pic:pic>
              </a:graphicData>
            </a:graphic>
          </wp:inline>
        </w:drawing>
      </w:r>
    </w:p>
    <w:p>
      <w:pPr>
        <w:pStyle w:val="6"/>
        <w:numPr>
          <w:ilvl w:val="0"/>
          <w:numId w:val="0"/>
        </w:numPr>
        <w:ind w:leftChars="0"/>
        <w:jc w:val="center"/>
        <w:rPr>
          <w:rFonts w:hint="default" w:ascii="黑体" w:hAnsi="黑体" w:eastAsia="黑体" w:cs="黑体"/>
          <w:b/>
          <w:bCs/>
          <w:sz w:val="32"/>
          <w:szCs w:val="40"/>
          <w:lang w:val="en-US" w:eastAsia="zh-CN"/>
        </w:rPr>
      </w:pPr>
      <w:r>
        <w:rPr>
          <w:rFonts w:hint="eastAsia" w:ascii="黑体" w:hAnsi="黑体" w:eastAsia="黑体" w:cs="黑体"/>
          <w:b w:val="0"/>
          <w:bCs w:val="0"/>
          <w:sz w:val="32"/>
          <w:szCs w:val="40"/>
          <w:lang w:val="en-US" w:eastAsia="zh-CN"/>
        </w:rPr>
        <w:t>生日关怀</w:t>
      </w:r>
    </w:p>
    <w:p>
      <w:pPr>
        <w:pStyle w:val="6"/>
        <w:numPr>
          <w:ilvl w:val="0"/>
          <w:numId w:val="0"/>
        </w:numPr>
        <w:ind w:leftChars="0"/>
        <w:jc w:val="center"/>
        <w:rPr>
          <w:rFonts w:hint="default" w:ascii="黑体" w:hAnsi="黑体" w:eastAsia="黑体" w:cs="黑体"/>
          <w:b/>
          <w:bCs/>
          <w:sz w:val="32"/>
          <w:szCs w:val="40"/>
          <w:lang w:val="en-US" w:eastAsia="zh-CN"/>
        </w:rPr>
      </w:pPr>
      <w:r>
        <w:rPr>
          <w:rFonts w:hint="default" w:ascii="黑体" w:hAnsi="黑体" w:eastAsia="黑体" w:cs="黑体"/>
          <w:b/>
          <w:bCs/>
          <w:sz w:val="32"/>
          <w:szCs w:val="40"/>
          <w:lang w:val="en-US" w:eastAsia="zh-CN"/>
        </w:rPr>
        <w:drawing>
          <wp:inline distT="0" distB="0" distL="114300" distR="114300">
            <wp:extent cx="5257165" cy="3505200"/>
            <wp:effectExtent l="0" t="0" r="635" b="0"/>
            <wp:docPr id="38" name="图片 38" descr="DSC_8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DSC_8977"/>
                    <pic:cNvPicPr>
                      <a:picLocks noChangeAspect="1"/>
                    </pic:cNvPicPr>
                  </pic:nvPicPr>
                  <pic:blipFill>
                    <a:blip r:embed="rId43"/>
                    <a:stretch>
                      <a:fillRect/>
                    </a:stretch>
                  </pic:blipFill>
                  <pic:spPr>
                    <a:xfrm>
                      <a:off x="0" y="0"/>
                      <a:ext cx="5257165" cy="3505200"/>
                    </a:xfrm>
                    <a:prstGeom prst="rect">
                      <a:avLst/>
                    </a:prstGeom>
                  </pic:spPr>
                </pic:pic>
              </a:graphicData>
            </a:graphic>
          </wp:inline>
        </w:drawing>
      </w:r>
    </w:p>
    <w:p>
      <w:pPr>
        <w:pStyle w:val="6"/>
        <w:numPr>
          <w:ilvl w:val="0"/>
          <w:numId w:val="0"/>
        </w:numPr>
        <w:ind w:leftChars="0"/>
        <w:jc w:val="center"/>
        <w:rPr>
          <w:rFonts w:hint="eastAsia" w:ascii="黑体" w:hAnsi="黑体" w:eastAsia="黑体" w:cs="黑体"/>
          <w:b w:val="0"/>
          <w:bCs w:val="0"/>
          <w:sz w:val="32"/>
          <w:szCs w:val="40"/>
          <w:lang w:val="en-US" w:eastAsia="zh-CN"/>
        </w:rPr>
      </w:pPr>
      <w:r>
        <w:rPr>
          <w:rFonts w:hint="eastAsia" w:ascii="黑体" w:hAnsi="黑体" w:eastAsia="黑体" w:cs="黑体"/>
          <w:b w:val="0"/>
          <w:bCs w:val="0"/>
          <w:sz w:val="32"/>
          <w:szCs w:val="40"/>
          <w:lang w:val="en-US" w:eastAsia="zh-CN"/>
        </w:rPr>
        <w:t>职工活动中心</w:t>
      </w:r>
    </w:p>
    <w:p>
      <w:pPr>
        <w:pStyle w:val="6"/>
        <w:numPr>
          <w:ilvl w:val="0"/>
          <w:numId w:val="0"/>
        </w:numPr>
        <w:ind w:leftChars="0"/>
        <w:jc w:val="center"/>
        <w:rPr>
          <w:rFonts w:hint="eastAsia" w:ascii="黑体" w:hAnsi="黑体" w:eastAsia="黑体" w:cs="黑体"/>
          <w:b w:val="0"/>
          <w:bCs w:val="0"/>
          <w:sz w:val="32"/>
          <w:szCs w:val="40"/>
          <w:lang w:val="en-US" w:eastAsia="zh-CN"/>
        </w:rPr>
      </w:pPr>
    </w:p>
    <w:p>
      <w:pPr>
        <w:pStyle w:val="6"/>
        <w:numPr>
          <w:ilvl w:val="0"/>
          <w:numId w:val="0"/>
        </w:numPr>
        <w:ind w:leftChars="0"/>
        <w:jc w:val="center"/>
        <w:rPr>
          <w:rFonts w:hint="default" w:ascii="黑体" w:hAnsi="黑体" w:eastAsia="黑体" w:cs="黑体"/>
          <w:b w:val="0"/>
          <w:bCs w:val="0"/>
          <w:sz w:val="32"/>
          <w:szCs w:val="40"/>
          <w:lang w:val="en-US" w:eastAsia="zh-CN"/>
        </w:rPr>
      </w:pPr>
      <w:r>
        <w:rPr>
          <w:rFonts w:hint="default" w:ascii="黑体" w:hAnsi="黑体" w:eastAsia="黑体" w:cs="黑体"/>
          <w:b w:val="0"/>
          <w:bCs w:val="0"/>
          <w:sz w:val="32"/>
          <w:szCs w:val="40"/>
          <w:lang w:val="en-US" w:eastAsia="zh-CN"/>
        </w:rPr>
        <w:drawing>
          <wp:inline distT="0" distB="0" distL="114300" distR="114300">
            <wp:extent cx="5754370" cy="2036445"/>
            <wp:effectExtent l="0" t="0" r="17780" b="1905"/>
            <wp:docPr id="42" name="图片 42" descr="43ba2386ce7eee4bc939a2c2dc9cad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43ba2386ce7eee4bc939a2c2dc9cad5f"/>
                    <pic:cNvPicPr>
                      <a:picLocks noChangeAspect="1"/>
                    </pic:cNvPicPr>
                  </pic:nvPicPr>
                  <pic:blipFill>
                    <a:blip r:embed="rId44"/>
                    <a:stretch>
                      <a:fillRect/>
                    </a:stretch>
                  </pic:blipFill>
                  <pic:spPr>
                    <a:xfrm>
                      <a:off x="0" y="0"/>
                      <a:ext cx="5754370" cy="2036445"/>
                    </a:xfrm>
                    <a:prstGeom prst="rect">
                      <a:avLst/>
                    </a:prstGeom>
                  </pic:spPr>
                </pic:pic>
              </a:graphicData>
            </a:graphic>
          </wp:inline>
        </w:drawing>
      </w:r>
    </w:p>
    <w:p>
      <w:pPr>
        <w:pStyle w:val="6"/>
        <w:numPr>
          <w:ilvl w:val="0"/>
          <w:numId w:val="0"/>
        </w:numPr>
        <w:ind w:leftChars="0"/>
        <w:jc w:val="center"/>
        <w:rPr>
          <w:rFonts w:hint="default" w:ascii="黑体" w:hAnsi="黑体" w:eastAsia="黑体" w:cs="黑体"/>
          <w:b w:val="0"/>
          <w:bCs w:val="0"/>
          <w:sz w:val="32"/>
          <w:szCs w:val="40"/>
          <w:lang w:val="en-US" w:eastAsia="zh-CN"/>
        </w:rPr>
      </w:pPr>
      <w:r>
        <w:rPr>
          <w:rFonts w:hint="eastAsia" w:ascii="黑体" w:hAnsi="黑体" w:eastAsia="黑体" w:cs="黑体"/>
          <w:b w:val="0"/>
          <w:bCs w:val="0"/>
          <w:sz w:val="32"/>
          <w:szCs w:val="40"/>
          <w:lang w:val="en-US" w:eastAsia="zh-CN"/>
        </w:rPr>
        <w:t>拓展训练</w:t>
      </w:r>
    </w:p>
    <w:p>
      <w:pPr>
        <w:pStyle w:val="2"/>
        <w:rPr>
          <w:rFonts w:hint="default"/>
          <w:lang w:val="en-US" w:eastAsia="zh-CN"/>
        </w:rPr>
      </w:pPr>
    </w:p>
    <w:sectPr>
      <w:footerReference r:id="rId5" w:type="default"/>
      <w:pgSz w:w="11906" w:h="16838"/>
      <w:pgMar w:top="2098" w:right="1417" w:bottom="1417" w:left="1531" w:header="851" w:footer="992" w:gutter="0"/>
      <w:pgNumType w:fmt="numberInDash"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panose1 w:val="02010609030101010101"/>
    <w:charset w:val="86"/>
    <w:family w:val="auto"/>
    <w:pitch w:val="default"/>
    <w:sig w:usb0="00000001" w:usb1="080E0000" w:usb2="00000000" w:usb3="00000000" w:csb0="00040000" w:csb1="00000000"/>
  </w:font>
  <w:font w:name="方正小标宋简体">
    <w:panose1 w:val="03000509000000000000"/>
    <w:charset w:val="86"/>
    <w:family w:val="auto"/>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rFonts w:hint="eastAsia"/>
        <w:lang w:val="en-US" w:eastAsia="zh-CN"/>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rFonts w:hint="eastAsia"/>
        <w:lang w:val="en-US" w:eastAsia="zh-CN"/>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-133350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rPr>
                              <w:rFonts w:hint="eastAsia" w:eastAsiaTheme="minorEastAsia"/>
                              <w:lang w:eastAsia="zh-CN"/>
                            </w:rPr>
                          </w:pPr>
                          <w:r>
                            <w:rPr>
                              <w:rFonts w:hint="eastAsia" w:asciiTheme="minorEastAsia" w:hAnsiTheme="minorEastAsia" w:eastAsiaTheme="minorEastAsia" w:cstheme="minorEastAsia"/>
                              <w:sz w:val="28"/>
                              <w:szCs w:val="44"/>
                              <w:lang w:eastAsia="zh-CN"/>
                            </w:rPr>
                            <w:fldChar w:fldCharType="begin"/>
                          </w:r>
                          <w:r>
                            <w:rPr>
                              <w:rFonts w:hint="eastAsia" w:asciiTheme="minorEastAsia" w:hAnsiTheme="minorEastAsia" w:eastAsiaTheme="minorEastAsia" w:cstheme="minorEastAsia"/>
                              <w:sz w:val="28"/>
                              <w:szCs w:val="44"/>
                              <w:lang w:eastAsia="zh-CN"/>
                            </w:rPr>
                            <w:instrText xml:space="preserve"> PAGE  \* MERGEFORMAT </w:instrText>
                          </w:r>
                          <w:r>
                            <w:rPr>
                              <w:rFonts w:hint="eastAsia" w:asciiTheme="minorEastAsia" w:hAnsiTheme="minorEastAsia" w:eastAsiaTheme="minorEastAsia" w:cstheme="minorEastAsia"/>
                              <w:sz w:val="28"/>
                              <w:szCs w:val="44"/>
                              <w:lang w:eastAsia="zh-CN"/>
                            </w:rPr>
                            <w:fldChar w:fldCharType="separate"/>
                          </w:r>
                          <w:r>
                            <w:rPr>
                              <w:rFonts w:hint="eastAsia" w:asciiTheme="minorEastAsia" w:hAnsiTheme="minorEastAsia" w:eastAsiaTheme="minorEastAsia" w:cstheme="minorEastAsia"/>
                              <w:sz w:val="28"/>
                              <w:szCs w:val="44"/>
                              <w:lang w:eastAsia="zh-CN"/>
                            </w:rPr>
                            <w:t>1</w:t>
                          </w:r>
                          <w:r>
                            <w:rPr>
                              <w:rFonts w:hint="eastAsia" w:asciiTheme="minorEastAsia" w:hAnsiTheme="minorEastAsia" w:eastAsiaTheme="minorEastAsia" w:cstheme="minorEastAsia"/>
                              <w:sz w:val="28"/>
                              <w:szCs w:val="44"/>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10.5pt;height:144pt;width:144pt;mso-position-horizontal:center;mso-position-horizontal-relative:margin;mso-wrap-style:none;z-index:251661312;mso-width-relative:page;mso-height-relative:page;" filled="f" stroked="f" coordsize="21600,21600" o:gfxdata="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fnJNw1AAAAAgBAAAPAAAAAAAAAAEAIAAAACIAAABkcnMvZG93bnJldi54bWxQSwEC&#10;FAAUAAAACACHTuJAMIkSXjECAABhBAAADgAAAAAAAAABACAAAAAjAQAAZHJzL2Uyb0RvYy54bWxQ&#10;SwUGAAAAAAYABgBZAQAAxgUAAAAA&#10;">
              <v:fill on="f" focussize="0,0"/>
              <v:stroke on="f" weight="0.5pt"/>
              <v:imagedata o:title=""/>
              <o:lock v:ext="edit" aspectratio="f"/>
              <v:textbox inset="0mm,0mm,0mm,0mm" style="mso-fit-shape-to-text:t;">
                <w:txbxContent>
                  <w:p>
                    <w:pPr>
                      <w:pStyle w:val="4"/>
                      <w:rPr>
                        <w:rFonts w:hint="eastAsia" w:eastAsiaTheme="minorEastAsia"/>
                        <w:lang w:eastAsia="zh-CN"/>
                      </w:rPr>
                    </w:pPr>
                    <w:r>
                      <w:rPr>
                        <w:rFonts w:hint="eastAsia" w:asciiTheme="minorEastAsia" w:hAnsiTheme="minorEastAsia" w:eastAsiaTheme="minorEastAsia" w:cstheme="minorEastAsia"/>
                        <w:sz w:val="28"/>
                        <w:szCs w:val="44"/>
                        <w:lang w:eastAsia="zh-CN"/>
                      </w:rPr>
                      <w:fldChar w:fldCharType="begin"/>
                    </w:r>
                    <w:r>
                      <w:rPr>
                        <w:rFonts w:hint="eastAsia" w:asciiTheme="minorEastAsia" w:hAnsiTheme="minorEastAsia" w:eastAsiaTheme="minorEastAsia" w:cstheme="minorEastAsia"/>
                        <w:sz w:val="28"/>
                        <w:szCs w:val="44"/>
                        <w:lang w:eastAsia="zh-CN"/>
                      </w:rPr>
                      <w:instrText xml:space="preserve"> PAGE  \* MERGEFORMAT </w:instrText>
                    </w:r>
                    <w:r>
                      <w:rPr>
                        <w:rFonts w:hint="eastAsia" w:asciiTheme="minorEastAsia" w:hAnsiTheme="minorEastAsia" w:eastAsiaTheme="minorEastAsia" w:cstheme="minorEastAsia"/>
                        <w:sz w:val="28"/>
                        <w:szCs w:val="44"/>
                        <w:lang w:eastAsia="zh-CN"/>
                      </w:rPr>
                      <w:fldChar w:fldCharType="separate"/>
                    </w:r>
                    <w:r>
                      <w:rPr>
                        <w:rFonts w:hint="eastAsia" w:asciiTheme="minorEastAsia" w:hAnsiTheme="minorEastAsia" w:eastAsiaTheme="minorEastAsia" w:cstheme="minorEastAsia"/>
                        <w:sz w:val="28"/>
                        <w:szCs w:val="44"/>
                        <w:lang w:eastAsia="zh-CN"/>
                      </w:rPr>
                      <w:t>1</w:t>
                    </w:r>
                    <w:r>
                      <w:rPr>
                        <w:rFonts w:hint="eastAsia" w:asciiTheme="minorEastAsia" w:hAnsiTheme="minorEastAsia" w:eastAsiaTheme="minorEastAsia" w:cstheme="minorEastAsia"/>
                        <w:sz w:val="28"/>
                        <w:szCs w:val="44"/>
                        <w:lang w:eastAsia="zh-CN"/>
                      </w:rPr>
                      <w:fldChar w:fldCharType="end"/>
                    </w:r>
                  </w:p>
                </w:txbxContent>
              </v:textbox>
            </v:shape>
          </w:pict>
        </mc:Fallback>
      </mc:AlternateContent>
    </w:r>
    <w:r>
      <w:rPr>
        <w:rFonts w:hint="eastAsia"/>
        <w:lang w:val="en-US" w:eastAsia="zh-CN"/>
      </w:rPr>
      <w:t xml:space="preserve"> </w: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2934CDC"/>
    <w:multiLevelType w:val="singleLevel"/>
    <w:tmpl w:val="E2934CDC"/>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10B5FF8"/>
    <w:rsid w:val="014C01A0"/>
    <w:rsid w:val="03BB1F2E"/>
    <w:rsid w:val="052C2054"/>
    <w:rsid w:val="05B3133E"/>
    <w:rsid w:val="07F309AE"/>
    <w:rsid w:val="112E365F"/>
    <w:rsid w:val="121C7F16"/>
    <w:rsid w:val="1B86047F"/>
    <w:rsid w:val="1EE04163"/>
    <w:rsid w:val="1FF07BE8"/>
    <w:rsid w:val="22BE70C5"/>
    <w:rsid w:val="269268EA"/>
    <w:rsid w:val="274F65FC"/>
    <w:rsid w:val="288A468B"/>
    <w:rsid w:val="293B53B6"/>
    <w:rsid w:val="2C0A4DED"/>
    <w:rsid w:val="2C373E63"/>
    <w:rsid w:val="2CDB5B2B"/>
    <w:rsid w:val="2D204CF4"/>
    <w:rsid w:val="304066A8"/>
    <w:rsid w:val="30AB0610"/>
    <w:rsid w:val="31047A84"/>
    <w:rsid w:val="319E69BB"/>
    <w:rsid w:val="35805D3F"/>
    <w:rsid w:val="36C26B29"/>
    <w:rsid w:val="393379DB"/>
    <w:rsid w:val="3ABC6EA7"/>
    <w:rsid w:val="3B2D4D55"/>
    <w:rsid w:val="3C34136D"/>
    <w:rsid w:val="3DEF5BEE"/>
    <w:rsid w:val="40AE0105"/>
    <w:rsid w:val="413C7BA2"/>
    <w:rsid w:val="42F614A6"/>
    <w:rsid w:val="48CC4B88"/>
    <w:rsid w:val="495E1978"/>
    <w:rsid w:val="4D3F550B"/>
    <w:rsid w:val="4D837765"/>
    <w:rsid w:val="4E0E3238"/>
    <w:rsid w:val="4E8800EF"/>
    <w:rsid w:val="4F7956E9"/>
    <w:rsid w:val="4F8861CD"/>
    <w:rsid w:val="51566DE0"/>
    <w:rsid w:val="51BC3A01"/>
    <w:rsid w:val="51C036BD"/>
    <w:rsid w:val="51C06B73"/>
    <w:rsid w:val="586025AF"/>
    <w:rsid w:val="5CDC2C5C"/>
    <w:rsid w:val="5F2867A2"/>
    <w:rsid w:val="62512BAA"/>
    <w:rsid w:val="63A64F43"/>
    <w:rsid w:val="66FB00E8"/>
    <w:rsid w:val="685C12A5"/>
    <w:rsid w:val="68D91BBE"/>
    <w:rsid w:val="69EC4EEC"/>
    <w:rsid w:val="6C524BC1"/>
    <w:rsid w:val="6FE458A6"/>
    <w:rsid w:val="741977EC"/>
    <w:rsid w:val="75420A4B"/>
    <w:rsid w:val="798B5C2D"/>
    <w:rsid w:val="7CA627AB"/>
    <w:rsid w:val="7F2366A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8">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styleId="3">
    <w:name w:val="Body Text Indent"/>
    <w:basedOn w:val="1"/>
    <w:qFormat/>
    <w:uiPriority w:val="99"/>
    <w:pPr>
      <w:spacing w:after="120"/>
      <w:ind w:left="420" w:leftChars="200"/>
    </w:p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Body Text First Indent 2"/>
    <w:basedOn w:val="3"/>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3.xml"/><Relationship Id="rId47" Type="http://schemas.openxmlformats.org/officeDocument/2006/relationships/fontTable" Target="fontTable.xml"/><Relationship Id="rId46" Type="http://schemas.openxmlformats.org/officeDocument/2006/relationships/numbering" Target="numbering.xml"/><Relationship Id="rId45" Type="http://schemas.openxmlformats.org/officeDocument/2006/relationships/customXml" Target="../customXml/item1.xml"/><Relationship Id="rId44" Type="http://schemas.openxmlformats.org/officeDocument/2006/relationships/image" Target="media/image38.jpeg"/><Relationship Id="rId43" Type="http://schemas.openxmlformats.org/officeDocument/2006/relationships/image" Target="media/image37.jpeg"/><Relationship Id="rId42" Type="http://schemas.openxmlformats.org/officeDocument/2006/relationships/image" Target="media/image36.jpeg"/><Relationship Id="rId41" Type="http://schemas.openxmlformats.org/officeDocument/2006/relationships/image" Target="media/image35.jpeg"/><Relationship Id="rId40" Type="http://schemas.openxmlformats.org/officeDocument/2006/relationships/image" Target="media/image34.jpeg"/><Relationship Id="rId4" Type="http://schemas.openxmlformats.org/officeDocument/2006/relationships/footer" Target="footer2.xml"/><Relationship Id="rId39" Type="http://schemas.openxmlformats.org/officeDocument/2006/relationships/image" Target="media/image33.png"/><Relationship Id="rId38" Type="http://schemas.openxmlformats.org/officeDocument/2006/relationships/image" Target="media/image32.jpeg"/><Relationship Id="rId37" Type="http://schemas.openxmlformats.org/officeDocument/2006/relationships/image" Target="media/image31.pn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footer" Target="footer1.xml"/><Relationship Id="rId29" Type="http://schemas.openxmlformats.org/officeDocument/2006/relationships/image" Target="media/image23.jpeg"/><Relationship Id="rId28" Type="http://schemas.openxmlformats.org/officeDocument/2006/relationships/image" Target="media/image22.png"/><Relationship Id="rId27" Type="http://schemas.openxmlformats.org/officeDocument/2006/relationships/image" Target="media/image21.jpe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36</Pages>
  <Words>7739</Words>
  <Characters>7883</Characters>
  <Lines>0</Lines>
  <Paragraphs>0</Paragraphs>
  <TotalTime>91</TotalTime>
  <ScaleCrop>false</ScaleCrop>
  <LinksUpToDate>false</LinksUpToDate>
  <CharactersWithSpaces>7887</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2020-09-08T00:33:00Z</dcterms:created>
  <dc:creator>Administrator</dc:creator>
  <cp:lastModifiedBy>迪迦奥特曼</cp:lastModifiedBy>
  <cp:lastPrinted>2020-12-28T01:45:00Z</cp:lastPrinted>
  <dcterms:modified xsi:type="dcterms:W3CDTF">2022-12-06T08:51:35Z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144B1790611B411BA0A57A4814C501AB</vt:lpwstr>
  </property>
</Properties>
</file>